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2D22" w:rsidRPr="00AD2FA6" w:rsidRDefault="00A62D22" w:rsidP="008D4018">
      <w:pPr>
        <w:spacing w:before="100" w:beforeAutospacing="1" w:after="100" w:afterAutospacing="1" w:line="360" w:lineRule="auto"/>
        <w:jc w:val="center"/>
        <w:rPr>
          <w:rFonts w:ascii="Times New Roman" w:eastAsia="Times New Roman" w:hAnsi="Times New Roman" w:cs="Times New Roman"/>
          <w:b/>
          <w:bCs/>
          <w:sz w:val="24"/>
          <w:szCs w:val="24"/>
          <w:lang w:eastAsia="en-IN"/>
        </w:rPr>
      </w:pPr>
      <w:r w:rsidRPr="00AD2FA6">
        <w:rPr>
          <w:rFonts w:ascii="Times New Roman" w:eastAsia="Times New Roman" w:hAnsi="Times New Roman" w:cs="Times New Roman"/>
          <w:b/>
          <w:bCs/>
          <w:sz w:val="24"/>
          <w:szCs w:val="24"/>
          <w:lang w:eastAsia="en-IN"/>
        </w:rPr>
        <w:t>Sacred Crossings: Theocratic Identity Formation and Cultural Adaptation Among International Students</w:t>
      </w:r>
    </w:p>
    <w:p w:rsidR="00707AA8" w:rsidRPr="00AD2FA6" w:rsidRDefault="00707AA8" w:rsidP="00AD2FA6">
      <w:pPr>
        <w:spacing w:before="100" w:beforeAutospacing="1" w:after="100" w:afterAutospacing="1" w:line="360" w:lineRule="auto"/>
        <w:jc w:val="both"/>
        <w:rPr>
          <w:rFonts w:ascii="Times New Roman" w:eastAsia="Times New Roman" w:hAnsi="Times New Roman" w:cs="Times New Roman"/>
          <w:b/>
          <w:bCs/>
          <w:sz w:val="24"/>
          <w:szCs w:val="24"/>
          <w:lang w:eastAsia="en-IN"/>
        </w:rPr>
      </w:pPr>
    </w:p>
    <w:p w:rsidR="00707AA8" w:rsidRPr="00AD2FA6" w:rsidRDefault="00707AA8" w:rsidP="008D4018">
      <w:pPr>
        <w:spacing w:line="360" w:lineRule="auto"/>
        <w:jc w:val="center"/>
        <w:rPr>
          <w:rFonts w:ascii="Times New Roman" w:hAnsi="Times New Roman" w:cs="Times New Roman"/>
          <w:b/>
          <w:bCs/>
          <w:sz w:val="24"/>
          <w:szCs w:val="24"/>
        </w:rPr>
      </w:pPr>
      <w:r w:rsidRPr="00AD2FA6">
        <w:rPr>
          <w:rFonts w:ascii="Times New Roman" w:hAnsi="Times New Roman" w:cs="Times New Roman"/>
          <w:b/>
          <w:bCs/>
          <w:sz w:val="24"/>
          <w:szCs w:val="24"/>
        </w:rPr>
        <w:t>Sarita Sharma, Research Scholar, Sharda University</w:t>
      </w:r>
    </w:p>
    <w:p w:rsidR="00707AA8" w:rsidRPr="00AD2FA6" w:rsidRDefault="00707AA8" w:rsidP="008D4018">
      <w:pPr>
        <w:spacing w:line="360" w:lineRule="auto"/>
        <w:jc w:val="center"/>
        <w:rPr>
          <w:rFonts w:ascii="Times New Roman" w:hAnsi="Times New Roman" w:cs="Times New Roman"/>
          <w:b/>
          <w:bCs/>
          <w:sz w:val="24"/>
          <w:szCs w:val="24"/>
        </w:rPr>
      </w:pPr>
      <w:r w:rsidRPr="00AD2FA6">
        <w:rPr>
          <w:rFonts w:ascii="Times New Roman" w:hAnsi="Times New Roman" w:cs="Times New Roman"/>
          <w:b/>
          <w:bCs/>
          <w:sz w:val="24"/>
          <w:szCs w:val="24"/>
        </w:rPr>
        <w:t>Dr. Sarita Verma, Associate Professor, Sharda University</w:t>
      </w:r>
    </w:p>
    <w:p w:rsidR="00707AA8" w:rsidRPr="00AD2FA6" w:rsidRDefault="00707AA8" w:rsidP="00AD2FA6">
      <w:pPr>
        <w:spacing w:before="100" w:beforeAutospacing="1" w:after="100" w:afterAutospacing="1" w:line="360" w:lineRule="auto"/>
        <w:jc w:val="both"/>
        <w:rPr>
          <w:rFonts w:ascii="Times New Roman" w:eastAsia="Times New Roman" w:hAnsi="Times New Roman" w:cs="Times New Roman"/>
          <w:sz w:val="24"/>
          <w:szCs w:val="24"/>
          <w:lang w:eastAsia="en-IN"/>
        </w:rPr>
      </w:pPr>
      <w:bookmarkStart w:id="0" w:name="_GoBack"/>
      <w:bookmarkEnd w:id="0"/>
    </w:p>
    <w:p w:rsidR="00A62D22" w:rsidRPr="00AD2FA6" w:rsidRDefault="00A62D22" w:rsidP="00AD2FA6">
      <w:pPr>
        <w:spacing w:before="100" w:beforeAutospacing="1" w:after="100" w:afterAutospacing="1" w:line="360" w:lineRule="auto"/>
        <w:jc w:val="both"/>
        <w:rPr>
          <w:rFonts w:ascii="Times New Roman" w:eastAsia="Times New Roman" w:hAnsi="Times New Roman" w:cs="Times New Roman"/>
          <w:sz w:val="24"/>
          <w:szCs w:val="24"/>
          <w:lang w:eastAsia="en-IN"/>
        </w:rPr>
      </w:pPr>
      <w:r w:rsidRPr="00AD2FA6">
        <w:rPr>
          <w:rFonts w:ascii="Times New Roman" w:eastAsia="Times New Roman" w:hAnsi="Times New Roman" w:cs="Times New Roman"/>
          <w:b/>
          <w:bCs/>
          <w:sz w:val="24"/>
          <w:szCs w:val="24"/>
          <w:lang w:eastAsia="en-IN"/>
        </w:rPr>
        <w:t>Abstract</w:t>
      </w:r>
    </w:p>
    <w:p w:rsidR="00AD2FA6" w:rsidRPr="00AD2FA6" w:rsidRDefault="00A62D22" w:rsidP="00AD2FA6">
      <w:pPr>
        <w:spacing w:before="100" w:beforeAutospacing="1" w:after="100" w:afterAutospacing="1" w:line="360" w:lineRule="auto"/>
        <w:jc w:val="both"/>
        <w:rPr>
          <w:rFonts w:ascii="Times New Roman" w:hAnsi="Times New Roman" w:cs="Times New Roman"/>
          <w:sz w:val="24"/>
          <w:szCs w:val="24"/>
        </w:rPr>
      </w:pPr>
      <w:r w:rsidRPr="00AD2FA6">
        <w:rPr>
          <w:rFonts w:ascii="Times New Roman" w:eastAsia="Times New Roman" w:hAnsi="Times New Roman" w:cs="Times New Roman"/>
          <w:sz w:val="24"/>
          <w:szCs w:val="24"/>
          <w:lang w:eastAsia="en-IN"/>
        </w:rPr>
        <w:t xml:space="preserve">This paper explores the intersection of religious belief and cultural adaptation among international students, with a focus on theocratic identity negotiation. As globalization intensifies educational mobility, students often find themselves navigating unfamiliar sociocultural terrains that challenge core aspects of their identity—including faith. Drawing upon Berry’s acculturation framework, Pargament’s theory of religious coping, and Ting-Toomey’s identity negotiation theory, this study synthesizes qualitative and quantitative research to examine how international students from diverse religious traditions reconcile spiritual commitments with the normative expectations of host cultures. </w:t>
      </w:r>
      <w:r w:rsidR="00AD2FA6" w:rsidRPr="00AD2FA6">
        <w:rPr>
          <w:rFonts w:ascii="Times New Roman" w:hAnsi="Times New Roman" w:cs="Times New Roman"/>
          <w:sz w:val="24"/>
          <w:szCs w:val="24"/>
        </w:rPr>
        <w:t>The evaluation reveals that religion serves both to stabilize psychosocial practices and creates the possibility for social conflict between different groups. The paper concludes with an argument that colleges and universities must establish complete approaches that validate religious backgrounds while supporting multicultural activities.</w:t>
      </w:r>
    </w:p>
    <w:p w:rsidR="00A62D22" w:rsidRPr="00AD2FA6" w:rsidRDefault="00A62D22" w:rsidP="00AD2FA6">
      <w:pPr>
        <w:spacing w:before="100" w:beforeAutospacing="1" w:after="100" w:afterAutospacing="1" w:line="360" w:lineRule="auto"/>
        <w:jc w:val="both"/>
        <w:rPr>
          <w:rFonts w:ascii="Times New Roman" w:eastAsia="Times New Roman" w:hAnsi="Times New Roman" w:cs="Times New Roman"/>
          <w:sz w:val="24"/>
          <w:szCs w:val="24"/>
          <w:lang w:eastAsia="en-IN"/>
        </w:rPr>
      </w:pPr>
      <w:r w:rsidRPr="00AD2FA6">
        <w:rPr>
          <w:rFonts w:ascii="Times New Roman" w:eastAsia="Times New Roman" w:hAnsi="Times New Roman" w:cs="Times New Roman"/>
          <w:b/>
          <w:bCs/>
          <w:sz w:val="24"/>
          <w:szCs w:val="24"/>
          <w:lang w:eastAsia="en-IN"/>
        </w:rPr>
        <w:t>Keywords:</w:t>
      </w:r>
      <w:r w:rsidRPr="00AD2FA6">
        <w:rPr>
          <w:rFonts w:ascii="Times New Roman" w:eastAsia="Times New Roman" w:hAnsi="Times New Roman" w:cs="Times New Roman"/>
          <w:sz w:val="24"/>
          <w:szCs w:val="24"/>
          <w:lang w:eastAsia="en-IN"/>
        </w:rPr>
        <w:t xml:space="preserve"> international students, acculturation, religious identity, theocratic negotiation, cultural adaptation, higher education, faith-based adaptation</w:t>
      </w:r>
    </w:p>
    <w:p w:rsidR="00A62D22" w:rsidRPr="00AD2FA6" w:rsidRDefault="00A62D22" w:rsidP="00AD2FA6">
      <w:pPr>
        <w:spacing w:before="100" w:beforeAutospacing="1" w:after="100" w:afterAutospacing="1" w:line="360" w:lineRule="auto"/>
        <w:jc w:val="both"/>
        <w:rPr>
          <w:rFonts w:ascii="Times New Roman" w:eastAsia="Times New Roman" w:hAnsi="Times New Roman" w:cs="Times New Roman"/>
          <w:sz w:val="24"/>
          <w:szCs w:val="24"/>
          <w:lang w:eastAsia="en-IN"/>
        </w:rPr>
      </w:pPr>
      <w:r w:rsidRPr="00AD2FA6">
        <w:rPr>
          <w:rFonts w:ascii="Times New Roman" w:eastAsia="Times New Roman" w:hAnsi="Times New Roman" w:cs="Times New Roman"/>
          <w:b/>
          <w:bCs/>
          <w:sz w:val="24"/>
          <w:szCs w:val="24"/>
          <w:lang w:eastAsia="en-IN"/>
        </w:rPr>
        <w:t>Introduction</w:t>
      </w:r>
    </w:p>
    <w:p w:rsidR="0030105A" w:rsidRPr="00AD2FA6" w:rsidRDefault="0030105A" w:rsidP="00AD2FA6">
      <w:pPr>
        <w:spacing w:line="360" w:lineRule="auto"/>
        <w:jc w:val="both"/>
        <w:rPr>
          <w:rFonts w:ascii="Times New Roman" w:hAnsi="Times New Roman" w:cs="Times New Roman"/>
          <w:sz w:val="24"/>
          <w:szCs w:val="24"/>
        </w:rPr>
      </w:pPr>
      <w:r w:rsidRPr="00AD2FA6">
        <w:rPr>
          <w:rFonts w:ascii="Times New Roman" w:hAnsi="Times New Roman" w:cs="Times New Roman"/>
          <w:sz w:val="24"/>
          <w:szCs w:val="24"/>
        </w:rPr>
        <w:t xml:space="preserve">The present-day university functions as a minisphere of worldwide diversity since it welcomes growing numbers of international students who travel between different linguistic territories and social perspectives while studying. Scholarly emphasis on psychological and sociocultural acculturation elements (Zhou et al., 2008) leaves the role of religion inadequately examined especially in secular academic studies. Religion functions as an embodied identity for numerous international students because it establishes their fundamental meanings and ethics </w:t>
      </w:r>
      <w:r w:rsidRPr="00AD2FA6">
        <w:rPr>
          <w:rFonts w:ascii="Times New Roman" w:hAnsi="Times New Roman" w:cs="Times New Roman"/>
          <w:sz w:val="24"/>
          <w:szCs w:val="24"/>
        </w:rPr>
        <w:lastRenderedPageBreak/>
        <w:t>and serves as the basis of their social connections (Smith &amp; Denton, 2005; Cadge &amp; Ecklund, 2007). The research suggests international student acculturation demands thorough harmonization between religious identification and cultural acceptance which merges religious practices with cultural acceptance. This research investigates student religious identity adjustments in their host society to contribute vital information on global education and identity transformation.</w:t>
      </w:r>
    </w:p>
    <w:p w:rsidR="0030105A" w:rsidRPr="00AD2FA6" w:rsidRDefault="0030105A" w:rsidP="00AD2FA6">
      <w:pPr>
        <w:spacing w:line="360" w:lineRule="auto"/>
        <w:jc w:val="both"/>
        <w:rPr>
          <w:rStyle w:val="cursor-pointer"/>
          <w:rFonts w:ascii="Times New Roman" w:hAnsi="Times New Roman" w:cs="Times New Roman"/>
          <w:color w:val="000000"/>
          <w:sz w:val="24"/>
          <w:szCs w:val="24"/>
          <w:bdr w:val="single" w:sz="2" w:space="2" w:color="E5E5E5" w:frame="1"/>
          <w:shd w:val="clear" w:color="auto" w:fill="99FF99"/>
        </w:rPr>
      </w:pPr>
      <w:r w:rsidRPr="00AD2FA6">
        <w:rPr>
          <w:rFonts w:ascii="Times New Roman" w:hAnsi="Times New Roman" w:cs="Times New Roman"/>
          <w:sz w:val="24"/>
          <w:szCs w:val="24"/>
        </w:rPr>
        <w:t xml:space="preserve">The present-day university functions as a minisphere of worldwide diversity since it welcomes growing numbers of international students who travel between different linguistic territories and social perspectives while studying. Scholarly emphasis on psychological and sociocultural acculturation elements (Zhou et al., 2008) leaves the role of religion inadequately examined especially in secular academic studies. Religion functions as an embodied identity for numerous international students because it establishes their fundamental meanings and ethics and serves as the basis of their social connections (Smith &amp; Denton, 2005; Cadge &amp; Ecklund, 2007). </w:t>
      </w:r>
      <w:r w:rsidR="00AD2FA6" w:rsidRPr="00AD2FA6">
        <w:rPr>
          <w:rFonts w:ascii="Times New Roman" w:hAnsi="Times New Roman" w:cs="Times New Roman"/>
          <w:sz w:val="24"/>
          <w:szCs w:val="24"/>
        </w:rPr>
        <w:t>The study demonstrates how international students need complete cohesion between their religious beliefs and acceptance of local culture to combine sacred traditions with cultural norms. The study examines how international students modify their religious identities during their time in their host country to generate substantial knowledge about worldwide educational experiences and identity evolution.</w:t>
      </w:r>
      <w:r w:rsidRPr="00AD2FA6">
        <w:rPr>
          <w:rFonts w:ascii="Times New Roman" w:hAnsi="Times New Roman" w:cs="Times New Roman"/>
          <w:sz w:val="24"/>
          <w:szCs w:val="24"/>
        </w:rPr>
        <w:t>Berry’s Acculturation Framework</w:t>
      </w:r>
    </w:p>
    <w:p w:rsidR="0030105A" w:rsidRPr="00AD2FA6" w:rsidRDefault="0030105A" w:rsidP="00AD2FA6">
      <w:pPr>
        <w:spacing w:line="360" w:lineRule="auto"/>
        <w:jc w:val="both"/>
        <w:rPr>
          <w:rFonts w:ascii="Times New Roman" w:hAnsi="Times New Roman" w:cs="Times New Roman"/>
          <w:sz w:val="24"/>
          <w:szCs w:val="24"/>
        </w:rPr>
      </w:pPr>
      <w:r w:rsidRPr="00AD2FA6">
        <w:rPr>
          <w:rFonts w:ascii="Times New Roman" w:hAnsi="Times New Roman" w:cs="Times New Roman"/>
          <w:sz w:val="24"/>
          <w:szCs w:val="24"/>
        </w:rPr>
        <w:t>Religious Coping Theory</w:t>
      </w:r>
    </w:p>
    <w:p w:rsidR="00A62D22" w:rsidRPr="00AD2FA6" w:rsidRDefault="00A62D22" w:rsidP="00AD2FA6">
      <w:pPr>
        <w:spacing w:before="100" w:beforeAutospacing="1" w:after="100" w:afterAutospacing="1" w:line="360" w:lineRule="auto"/>
        <w:jc w:val="both"/>
        <w:rPr>
          <w:rFonts w:ascii="Times New Roman" w:eastAsia="Times New Roman" w:hAnsi="Times New Roman" w:cs="Times New Roman"/>
          <w:sz w:val="24"/>
          <w:szCs w:val="24"/>
          <w:lang w:eastAsia="en-IN"/>
        </w:rPr>
      </w:pPr>
      <w:r w:rsidRPr="00AD2FA6">
        <w:rPr>
          <w:rFonts w:ascii="Times New Roman" w:eastAsia="Times New Roman" w:hAnsi="Times New Roman" w:cs="Times New Roman"/>
          <w:b/>
          <w:bCs/>
          <w:sz w:val="24"/>
          <w:szCs w:val="24"/>
          <w:lang w:eastAsia="en-IN"/>
        </w:rPr>
        <w:t>Theoretical Framework</w:t>
      </w:r>
    </w:p>
    <w:p w:rsidR="00AD2980" w:rsidRPr="00AD2FA6" w:rsidRDefault="00A62D22" w:rsidP="00AD2FA6">
      <w:pPr>
        <w:spacing w:before="100" w:beforeAutospacing="1" w:after="100" w:afterAutospacing="1" w:line="360" w:lineRule="auto"/>
        <w:jc w:val="both"/>
        <w:rPr>
          <w:rFonts w:ascii="Times New Roman" w:eastAsia="Times New Roman" w:hAnsi="Times New Roman" w:cs="Times New Roman"/>
          <w:b/>
          <w:bCs/>
          <w:sz w:val="24"/>
          <w:szCs w:val="24"/>
          <w:lang w:eastAsia="en-IN"/>
        </w:rPr>
      </w:pPr>
      <w:r w:rsidRPr="00AD2FA6">
        <w:rPr>
          <w:rFonts w:ascii="Times New Roman" w:eastAsia="Times New Roman" w:hAnsi="Times New Roman" w:cs="Times New Roman"/>
          <w:b/>
          <w:bCs/>
          <w:sz w:val="24"/>
          <w:szCs w:val="24"/>
          <w:lang w:eastAsia="en-IN"/>
        </w:rPr>
        <w:t>Berry’s Acculturation Framework</w:t>
      </w:r>
    </w:p>
    <w:p w:rsidR="0030105A" w:rsidRPr="00AD2FA6" w:rsidRDefault="0030105A" w:rsidP="00AD2FA6">
      <w:pPr>
        <w:spacing w:line="360" w:lineRule="auto"/>
        <w:jc w:val="both"/>
        <w:rPr>
          <w:rFonts w:ascii="Times New Roman" w:hAnsi="Times New Roman" w:cs="Times New Roman"/>
          <w:sz w:val="24"/>
          <w:szCs w:val="24"/>
        </w:rPr>
      </w:pPr>
      <w:r w:rsidRPr="00AD2FA6">
        <w:rPr>
          <w:rFonts w:ascii="Times New Roman" w:hAnsi="Times New Roman" w:cs="Times New Roman"/>
          <w:sz w:val="24"/>
          <w:szCs w:val="24"/>
        </w:rPr>
        <w:t>Berry (1997) presents four different strategies for acculturation labeling them as assimilation integration separation and marginalization. The strategies illustrate how people maintain their heritage culture relationships as they connect with the host society. Religious approaches to acculturation demonstrate themselves through faith practice abandonment (assimilation), bicultural integration (integration) and religious isolation (separation) as well as identity confusion (marginalization).</w:t>
      </w:r>
    </w:p>
    <w:p w:rsidR="00AD2980" w:rsidRPr="00AD2FA6" w:rsidRDefault="00A62D22" w:rsidP="00AD2FA6">
      <w:pPr>
        <w:spacing w:before="100" w:beforeAutospacing="1" w:after="100" w:afterAutospacing="1" w:line="360" w:lineRule="auto"/>
        <w:jc w:val="both"/>
        <w:rPr>
          <w:rFonts w:ascii="Times New Roman" w:eastAsia="Times New Roman" w:hAnsi="Times New Roman" w:cs="Times New Roman"/>
          <w:b/>
          <w:bCs/>
          <w:sz w:val="24"/>
          <w:szCs w:val="24"/>
          <w:lang w:eastAsia="en-IN"/>
        </w:rPr>
      </w:pPr>
      <w:r w:rsidRPr="00AD2FA6">
        <w:rPr>
          <w:rFonts w:ascii="Times New Roman" w:eastAsia="Times New Roman" w:hAnsi="Times New Roman" w:cs="Times New Roman"/>
          <w:b/>
          <w:bCs/>
          <w:sz w:val="24"/>
          <w:szCs w:val="24"/>
          <w:lang w:eastAsia="en-IN"/>
        </w:rPr>
        <w:t>Religious Coping Theory</w:t>
      </w:r>
    </w:p>
    <w:p w:rsidR="0030105A" w:rsidRPr="00AD2FA6" w:rsidRDefault="0030105A" w:rsidP="00AD2FA6">
      <w:pPr>
        <w:spacing w:line="360" w:lineRule="auto"/>
        <w:jc w:val="both"/>
        <w:rPr>
          <w:rFonts w:ascii="Times New Roman" w:hAnsi="Times New Roman" w:cs="Times New Roman"/>
          <w:sz w:val="24"/>
          <w:szCs w:val="24"/>
        </w:rPr>
      </w:pPr>
      <w:r w:rsidRPr="00AD2FA6">
        <w:rPr>
          <w:rFonts w:ascii="Times New Roman" w:hAnsi="Times New Roman" w:cs="Times New Roman"/>
          <w:sz w:val="24"/>
          <w:szCs w:val="24"/>
        </w:rPr>
        <w:lastRenderedPageBreak/>
        <w:t>According to Pargament (1997) religion functions as a resource which helps people manage their stress because it provides rituals together with stories and communal support systems that strengthen resilience. Religious coping helps international students reduce their psychological load from cultural adaptation and missing home and academic demands specifically through providing stability during their transitional phase (Ano &amp; Vasconcelles, 2005).</w:t>
      </w:r>
    </w:p>
    <w:p w:rsidR="00AD2980" w:rsidRPr="00AD2FA6" w:rsidRDefault="00A62D22" w:rsidP="00AD2FA6">
      <w:pPr>
        <w:spacing w:before="100" w:beforeAutospacing="1" w:after="100" w:afterAutospacing="1" w:line="360" w:lineRule="auto"/>
        <w:jc w:val="both"/>
        <w:rPr>
          <w:rFonts w:ascii="Times New Roman" w:eastAsia="Times New Roman" w:hAnsi="Times New Roman" w:cs="Times New Roman"/>
          <w:b/>
          <w:bCs/>
          <w:sz w:val="24"/>
          <w:szCs w:val="24"/>
          <w:lang w:eastAsia="en-IN"/>
        </w:rPr>
      </w:pPr>
      <w:r w:rsidRPr="00AD2FA6">
        <w:rPr>
          <w:rFonts w:ascii="Times New Roman" w:eastAsia="Times New Roman" w:hAnsi="Times New Roman" w:cs="Times New Roman"/>
          <w:b/>
          <w:bCs/>
          <w:sz w:val="24"/>
          <w:szCs w:val="24"/>
          <w:lang w:eastAsia="en-IN"/>
        </w:rPr>
        <w:t>Identity Negotiation Theory</w:t>
      </w:r>
    </w:p>
    <w:p w:rsidR="0030105A" w:rsidRPr="00AD2FA6" w:rsidRDefault="0030105A" w:rsidP="00AD2FA6">
      <w:pPr>
        <w:spacing w:line="360" w:lineRule="auto"/>
        <w:jc w:val="both"/>
        <w:rPr>
          <w:rFonts w:ascii="Times New Roman" w:hAnsi="Times New Roman" w:cs="Times New Roman"/>
          <w:sz w:val="24"/>
          <w:szCs w:val="24"/>
        </w:rPr>
      </w:pPr>
      <w:r w:rsidRPr="00AD2FA6">
        <w:rPr>
          <w:rFonts w:ascii="Times New Roman" w:hAnsi="Times New Roman" w:cs="Times New Roman"/>
          <w:sz w:val="24"/>
          <w:szCs w:val="24"/>
        </w:rPr>
        <w:t>Through intercultural communication individuals negotiate their dynamic identity according to Ting-Toomey’s (2005) theory. This theory explores how people handle their personal identity concepts when faced with different degrees of cultural separation as well as power imbalances and threats to identity. The practice of religion in secular environments sets off reactions for those who must defend their identities through either negotiation activities or resistance tactics or transformation processes (Peek, 2005). These frameworks work together to describe how international students handle their faith experiences alongside their sense of being foreign during their educational journeys.</w:t>
      </w:r>
    </w:p>
    <w:p w:rsidR="00A62D22" w:rsidRPr="00AD2FA6" w:rsidRDefault="00A62D22" w:rsidP="00AD2FA6">
      <w:pPr>
        <w:spacing w:before="100" w:beforeAutospacing="1" w:after="100" w:afterAutospacing="1" w:line="360" w:lineRule="auto"/>
        <w:jc w:val="both"/>
        <w:rPr>
          <w:rFonts w:ascii="Times New Roman" w:eastAsia="Times New Roman" w:hAnsi="Times New Roman" w:cs="Times New Roman"/>
          <w:sz w:val="24"/>
          <w:szCs w:val="24"/>
          <w:lang w:eastAsia="en-IN"/>
        </w:rPr>
      </w:pPr>
      <w:r w:rsidRPr="00AD2FA6">
        <w:rPr>
          <w:rFonts w:ascii="Times New Roman" w:eastAsia="Times New Roman" w:hAnsi="Times New Roman" w:cs="Times New Roman"/>
          <w:b/>
          <w:bCs/>
          <w:sz w:val="24"/>
          <w:szCs w:val="24"/>
          <w:lang w:eastAsia="en-IN"/>
        </w:rPr>
        <w:t>Methodology</w:t>
      </w:r>
    </w:p>
    <w:p w:rsidR="0030105A" w:rsidRPr="00AD2FA6" w:rsidRDefault="0030105A" w:rsidP="00AD2FA6">
      <w:pPr>
        <w:spacing w:line="360" w:lineRule="auto"/>
        <w:jc w:val="both"/>
        <w:rPr>
          <w:rFonts w:ascii="Times New Roman" w:hAnsi="Times New Roman" w:cs="Times New Roman"/>
          <w:sz w:val="24"/>
          <w:szCs w:val="24"/>
        </w:rPr>
      </w:pPr>
      <w:r w:rsidRPr="00AD2FA6">
        <w:rPr>
          <w:rFonts w:ascii="Times New Roman" w:hAnsi="Times New Roman" w:cs="Times New Roman"/>
          <w:sz w:val="24"/>
          <w:szCs w:val="24"/>
        </w:rPr>
        <w:t>Qualitative meta-synthesis methodology analyzed 28 empirical peer-reviewed studies from the period of 2005 to 2024. Research studies eligible for consideration analyzed international students’ faith practices in combination with their cultural adjustment and identity transformation processes within educational institutions. The research utilized various information sources such as in-depth interviews as well as focus groups and ethnographic studies and combined-method surveys that contained participants from religious backgrounds including Christianity, Islam, Hinduism, Buddhism and Sikhism. Noblit and Hare’s interpretive approach (1988) guided the meta-synthesis through a thematic convergence process that produced theoretical abstraction.</w:t>
      </w:r>
    </w:p>
    <w:p w:rsidR="00A62D22" w:rsidRPr="00AD2FA6" w:rsidRDefault="00A62D22" w:rsidP="00AD2FA6">
      <w:pPr>
        <w:spacing w:before="100" w:beforeAutospacing="1" w:after="100" w:afterAutospacing="1" w:line="360" w:lineRule="auto"/>
        <w:jc w:val="both"/>
        <w:rPr>
          <w:rFonts w:ascii="Times New Roman" w:eastAsia="Times New Roman" w:hAnsi="Times New Roman" w:cs="Times New Roman"/>
          <w:sz w:val="24"/>
          <w:szCs w:val="24"/>
          <w:lang w:eastAsia="en-IN"/>
        </w:rPr>
      </w:pPr>
      <w:r w:rsidRPr="00AD2FA6">
        <w:rPr>
          <w:rFonts w:ascii="Times New Roman" w:eastAsia="Times New Roman" w:hAnsi="Times New Roman" w:cs="Times New Roman"/>
          <w:sz w:val="24"/>
          <w:szCs w:val="24"/>
          <w:lang w:eastAsia="en-IN"/>
        </w:rPr>
        <w:t>To enhance clarity and representation, the sample distribution by religious affiliation is summarized below:</w:t>
      </w:r>
    </w:p>
    <w:tbl>
      <w:tblPr>
        <w:tblW w:w="911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215"/>
        <w:gridCol w:w="2644"/>
        <w:gridCol w:w="4258"/>
      </w:tblGrid>
      <w:tr w:rsidR="00A62D22" w:rsidRPr="00AD2FA6" w:rsidTr="00AD2980">
        <w:trPr>
          <w:trHeight w:val="281"/>
          <w:tblCellSpacing w:w="15" w:type="dxa"/>
        </w:trPr>
        <w:tc>
          <w:tcPr>
            <w:tcW w:w="0" w:type="auto"/>
            <w:vAlign w:val="center"/>
            <w:hideMark/>
          </w:tcPr>
          <w:p w:rsidR="00A62D22" w:rsidRPr="00AD2FA6" w:rsidRDefault="00A62D22" w:rsidP="00AD2FA6">
            <w:pPr>
              <w:spacing w:after="0" w:line="360" w:lineRule="auto"/>
              <w:jc w:val="both"/>
              <w:rPr>
                <w:rFonts w:ascii="Times New Roman" w:eastAsia="Times New Roman" w:hAnsi="Times New Roman" w:cs="Times New Roman"/>
                <w:b/>
                <w:bCs/>
                <w:sz w:val="24"/>
                <w:szCs w:val="24"/>
                <w:lang w:eastAsia="en-IN"/>
              </w:rPr>
            </w:pPr>
            <w:r w:rsidRPr="00AD2FA6">
              <w:rPr>
                <w:rFonts w:ascii="Times New Roman" w:eastAsia="Times New Roman" w:hAnsi="Times New Roman" w:cs="Times New Roman"/>
                <w:b/>
                <w:bCs/>
                <w:sz w:val="24"/>
                <w:szCs w:val="24"/>
                <w:lang w:eastAsia="en-IN"/>
              </w:rPr>
              <w:t>Religion</w:t>
            </w:r>
          </w:p>
        </w:tc>
        <w:tc>
          <w:tcPr>
            <w:tcW w:w="0" w:type="auto"/>
            <w:vAlign w:val="center"/>
            <w:hideMark/>
          </w:tcPr>
          <w:p w:rsidR="00A62D22" w:rsidRPr="00AD2FA6" w:rsidRDefault="00A62D22" w:rsidP="00AD2FA6">
            <w:pPr>
              <w:spacing w:after="0" w:line="360" w:lineRule="auto"/>
              <w:jc w:val="both"/>
              <w:rPr>
                <w:rFonts w:ascii="Times New Roman" w:eastAsia="Times New Roman" w:hAnsi="Times New Roman" w:cs="Times New Roman"/>
                <w:b/>
                <w:bCs/>
                <w:sz w:val="24"/>
                <w:szCs w:val="24"/>
                <w:lang w:eastAsia="en-IN"/>
              </w:rPr>
            </w:pPr>
            <w:r w:rsidRPr="00AD2FA6">
              <w:rPr>
                <w:rFonts w:ascii="Times New Roman" w:eastAsia="Times New Roman" w:hAnsi="Times New Roman" w:cs="Times New Roman"/>
                <w:b/>
                <w:bCs/>
                <w:sz w:val="24"/>
                <w:szCs w:val="24"/>
                <w:lang w:eastAsia="en-IN"/>
              </w:rPr>
              <w:t>Number of Studies</w:t>
            </w:r>
          </w:p>
        </w:tc>
        <w:tc>
          <w:tcPr>
            <w:tcW w:w="0" w:type="auto"/>
            <w:vAlign w:val="center"/>
            <w:hideMark/>
          </w:tcPr>
          <w:p w:rsidR="00A62D22" w:rsidRPr="00AD2FA6" w:rsidRDefault="00A62D22" w:rsidP="00AD2FA6">
            <w:pPr>
              <w:spacing w:after="0" w:line="360" w:lineRule="auto"/>
              <w:jc w:val="both"/>
              <w:rPr>
                <w:rFonts w:ascii="Times New Roman" w:eastAsia="Times New Roman" w:hAnsi="Times New Roman" w:cs="Times New Roman"/>
                <w:b/>
                <w:bCs/>
                <w:sz w:val="24"/>
                <w:szCs w:val="24"/>
                <w:lang w:eastAsia="en-IN"/>
              </w:rPr>
            </w:pPr>
            <w:r w:rsidRPr="00AD2FA6">
              <w:rPr>
                <w:rFonts w:ascii="Times New Roman" w:eastAsia="Times New Roman" w:hAnsi="Times New Roman" w:cs="Times New Roman"/>
                <w:b/>
                <w:bCs/>
                <w:sz w:val="24"/>
                <w:szCs w:val="24"/>
                <w:lang w:eastAsia="en-IN"/>
              </w:rPr>
              <w:t>Regional Focus</w:t>
            </w:r>
          </w:p>
        </w:tc>
      </w:tr>
      <w:tr w:rsidR="00A62D22" w:rsidRPr="00AD2FA6" w:rsidTr="00AD2980">
        <w:trPr>
          <w:trHeight w:val="269"/>
          <w:tblCellSpacing w:w="15" w:type="dxa"/>
        </w:trPr>
        <w:tc>
          <w:tcPr>
            <w:tcW w:w="0" w:type="auto"/>
            <w:vAlign w:val="center"/>
            <w:hideMark/>
          </w:tcPr>
          <w:p w:rsidR="00A62D22" w:rsidRPr="00AD2FA6" w:rsidRDefault="00A62D22" w:rsidP="00AD2FA6">
            <w:pPr>
              <w:spacing w:after="0" w:line="360" w:lineRule="auto"/>
              <w:jc w:val="both"/>
              <w:rPr>
                <w:rFonts w:ascii="Times New Roman" w:eastAsia="Times New Roman" w:hAnsi="Times New Roman" w:cs="Times New Roman"/>
                <w:sz w:val="24"/>
                <w:szCs w:val="24"/>
                <w:lang w:eastAsia="en-IN"/>
              </w:rPr>
            </w:pPr>
            <w:r w:rsidRPr="00AD2FA6">
              <w:rPr>
                <w:rFonts w:ascii="Times New Roman" w:eastAsia="Times New Roman" w:hAnsi="Times New Roman" w:cs="Times New Roman"/>
                <w:sz w:val="24"/>
                <w:szCs w:val="24"/>
                <w:lang w:eastAsia="en-IN"/>
              </w:rPr>
              <w:t>Christianity</w:t>
            </w:r>
          </w:p>
        </w:tc>
        <w:tc>
          <w:tcPr>
            <w:tcW w:w="0" w:type="auto"/>
            <w:vAlign w:val="center"/>
            <w:hideMark/>
          </w:tcPr>
          <w:p w:rsidR="00A62D22" w:rsidRPr="00AD2FA6" w:rsidRDefault="00A62D22" w:rsidP="00AD2FA6">
            <w:pPr>
              <w:spacing w:after="0" w:line="360" w:lineRule="auto"/>
              <w:jc w:val="both"/>
              <w:rPr>
                <w:rFonts w:ascii="Times New Roman" w:eastAsia="Times New Roman" w:hAnsi="Times New Roman" w:cs="Times New Roman"/>
                <w:sz w:val="24"/>
                <w:szCs w:val="24"/>
                <w:lang w:eastAsia="en-IN"/>
              </w:rPr>
            </w:pPr>
            <w:r w:rsidRPr="00AD2FA6">
              <w:rPr>
                <w:rFonts w:ascii="Times New Roman" w:eastAsia="Times New Roman" w:hAnsi="Times New Roman" w:cs="Times New Roman"/>
                <w:sz w:val="24"/>
                <w:szCs w:val="24"/>
                <w:lang w:eastAsia="en-IN"/>
              </w:rPr>
              <w:t>9</w:t>
            </w:r>
          </w:p>
        </w:tc>
        <w:tc>
          <w:tcPr>
            <w:tcW w:w="0" w:type="auto"/>
            <w:vAlign w:val="center"/>
            <w:hideMark/>
          </w:tcPr>
          <w:p w:rsidR="00A62D22" w:rsidRPr="00AD2FA6" w:rsidRDefault="00A62D22" w:rsidP="00AD2FA6">
            <w:pPr>
              <w:spacing w:after="0" w:line="360" w:lineRule="auto"/>
              <w:jc w:val="both"/>
              <w:rPr>
                <w:rFonts w:ascii="Times New Roman" w:eastAsia="Times New Roman" w:hAnsi="Times New Roman" w:cs="Times New Roman"/>
                <w:sz w:val="24"/>
                <w:szCs w:val="24"/>
                <w:lang w:eastAsia="en-IN"/>
              </w:rPr>
            </w:pPr>
            <w:r w:rsidRPr="00AD2FA6">
              <w:rPr>
                <w:rFonts w:ascii="Times New Roman" w:eastAsia="Times New Roman" w:hAnsi="Times New Roman" w:cs="Times New Roman"/>
                <w:sz w:val="24"/>
                <w:szCs w:val="24"/>
                <w:lang w:eastAsia="en-IN"/>
              </w:rPr>
              <w:t>North America, Europe</w:t>
            </w:r>
          </w:p>
        </w:tc>
      </w:tr>
      <w:tr w:rsidR="00A62D22" w:rsidRPr="00AD2FA6" w:rsidTr="00AD2980">
        <w:trPr>
          <w:trHeight w:val="281"/>
          <w:tblCellSpacing w:w="15" w:type="dxa"/>
        </w:trPr>
        <w:tc>
          <w:tcPr>
            <w:tcW w:w="0" w:type="auto"/>
            <w:vAlign w:val="center"/>
            <w:hideMark/>
          </w:tcPr>
          <w:p w:rsidR="00A62D22" w:rsidRPr="00AD2FA6" w:rsidRDefault="00A62D22" w:rsidP="00AD2FA6">
            <w:pPr>
              <w:spacing w:after="0" w:line="360" w:lineRule="auto"/>
              <w:jc w:val="both"/>
              <w:rPr>
                <w:rFonts w:ascii="Times New Roman" w:eastAsia="Times New Roman" w:hAnsi="Times New Roman" w:cs="Times New Roman"/>
                <w:sz w:val="24"/>
                <w:szCs w:val="24"/>
                <w:lang w:eastAsia="en-IN"/>
              </w:rPr>
            </w:pPr>
            <w:r w:rsidRPr="00AD2FA6">
              <w:rPr>
                <w:rFonts w:ascii="Times New Roman" w:eastAsia="Times New Roman" w:hAnsi="Times New Roman" w:cs="Times New Roman"/>
                <w:sz w:val="24"/>
                <w:szCs w:val="24"/>
                <w:lang w:eastAsia="en-IN"/>
              </w:rPr>
              <w:lastRenderedPageBreak/>
              <w:t>Islam</w:t>
            </w:r>
          </w:p>
        </w:tc>
        <w:tc>
          <w:tcPr>
            <w:tcW w:w="0" w:type="auto"/>
            <w:vAlign w:val="center"/>
            <w:hideMark/>
          </w:tcPr>
          <w:p w:rsidR="00A62D22" w:rsidRPr="00AD2FA6" w:rsidRDefault="00A62D22" w:rsidP="00AD2FA6">
            <w:pPr>
              <w:spacing w:after="0" w:line="360" w:lineRule="auto"/>
              <w:jc w:val="both"/>
              <w:rPr>
                <w:rFonts w:ascii="Times New Roman" w:eastAsia="Times New Roman" w:hAnsi="Times New Roman" w:cs="Times New Roman"/>
                <w:sz w:val="24"/>
                <w:szCs w:val="24"/>
                <w:lang w:eastAsia="en-IN"/>
              </w:rPr>
            </w:pPr>
            <w:r w:rsidRPr="00AD2FA6">
              <w:rPr>
                <w:rFonts w:ascii="Times New Roman" w:eastAsia="Times New Roman" w:hAnsi="Times New Roman" w:cs="Times New Roman"/>
                <w:sz w:val="24"/>
                <w:szCs w:val="24"/>
                <w:lang w:eastAsia="en-IN"/>
              </w:rPr>
              <w:t>8</w:t>
            </w:r>
          </w:p>
        </w:tc>
        <w:tc>
          <w:tcPr>
            <w:tcW w:w="0" w:type="auto"/>
            <w:vAlign w:val="center"/>
            <w:hideMark/>
          </w:tcPr>
          <w:p w:rsidR="00A62D22" w:rsidRPr="00AD2FA6" w:rsidRDefault="00A62D22" w:rsidP="00AD2FA6">
            <w:pPr>
              <w:spacing w:after="0" w:line="360" w:lineRule="auto"/>
              <w:jc w:val="both"/>
              <w:rPr>
                <w:rFonts w:ascii="Times New Roman" w:eastAsia="Times New Roman" w:hAnsi="Times New Roman" w:cs="Times New Roman"/>
                <w:sz w:val="24"/>
                <w:szCs w:val="24"/>
                <w:lang w:eastAsia="en-IN"/>
              </w:rPr>
            </w:pPr>
            <w:r w:rsidRPr="00AD2FA6">
              <w:rPr>
                <w:rFonts w:ascii="Times New Roman" w:eastAsia="Times New Roman" w:hAnsi="Times New Roman" w:cs="Times New Roman"/>
                <w:sz w:val="24"/>
                <w:szCs w:val="24"/>
                <w:lang w:eastAsia="en-IN"/>
              </w:rPr>
              <w:t>Middle East, Southeast Asia</w:t>
            </w:r>
          </w:p>
        </w:tc>
      </w:tr>
      <w:tr w:rsidR="00A62D22" w:rsidRPr="00AD2FA6" w:rsidTr="00AD2980">
        <w:trPr>
          <w:trHeight w:val="281"/>
          <w:tblCellSpacing w:w="15" w:type="dxa"/>
        </w:trPr>
        <w:tc>
          <w:tcPr>
            <w:tcW w:w="0" w:type="auto"/>
            <w:vAlign w:val="center"/>
            <w:hideMark/>
          </w:tcPr>
          <w:p w:rsidR="00A62D22" w:rsidRPr="00AD2FA6" w:rsidRDefault="00A62D22" w:rsidP="00AD2FA6">
            <w:pPr>
              <w:spacing w:after="0" w:line="360" w:lineRule="auto"/>
              <w:jc w:val="both"/>
              <w:rPr>
                <w:rFonts w:ascii="Times New Roman" w:eastAsia="Times New Roman" w:hAnsi="Times New Roman" w:cs="Times New Roman"/>
                <w:sz w:val="24"/>
                <w:szCs w:val="24"/>
                <w:lang w:eastAsia="en-IN"/>
              </w:rPr>
            </w:pPr>
            <w:r w:rsidRPr="00AD2FA6">
              <w:rPr>
                <w:rFonts w:ascii="Times New Roman" w:eastAsia="Times New Roman" w:hAnsi="Times New Roman" w:cs="Times New Roman"/>
                <w:sz w:val="24"/>
                <w:szCs w:val="24"/>
                <w:lang w:eastAsia="en-IN"/>
              </w:rPr>
              <w:t>Hinduism</w:t>
            </w:r>
          </w:p>
        </w:tc>
        <w:tc>
          <w:tcPr>
            <w:tcW w:w="0" w:type="auto"/>
            <w:vAlign w:val="center"/>
            <w:hideMark/>
          </w:tcPr>
          <w:p w:rsidR="00A62D22" w:rsidRPr="00AD2FA6" w:rsidRDefault="00A62D22" w:rsidP="00AD2FA6">
            <w:pPr>
              <w:spacing w:after="0" w:line="360" w:lineRule="auto"/>
              <w:jc w:val="both"/>
              <w:rPr>
                <w:rFonts w:ascii="Times New Roman" w:eastAsia="Times New Roman" w:hAnsi="Times New Roman" w:cs="Times New Roman"/>
                <w:sz w:val="24"/>
                <w:szCs w:val="24"/>
                <w:lang w:eastAsia="en-IN"/>
              </w:rPr>
            </w:pPr>
            <w:r w:rsidRPr="00AD2FA6">
              <w:rPr>
                <w:rFonts w:ascii="Times New Roman" w:eastAsia="Times New Roman" w:hAnsi="Times New Roman" w:cs="Times New Roman"/>
                <w:sz w:val="24"/>
                <w:szCs w:val="24"/>
                <w:lang w:eastAsia="en-IN"/>
              </w:rPr>
              <w:t>4</w:t>
            </w:r>
          </w:p>
        </w:tc>
        <w:tc>
          <w:tcPr>
            <w:tcW w:w="0" w:type="auto"/>
            <w:vAlign w:val="center"/>
            <w:hideMark/>
          </w:tcPr>
          <w:p w:rsidR="00A62D22" w:rsidRPr="00AD2FA6" w:rsidRDefault="00A62D22" w:rsidP="00AD2FA6">
            <w:pPr>
              <w:spacing w:after="0" w:line="360" w:lineRule="auto"/>
              <w:jc w:val="both"/>
              <w:rPr>
                <w:rFonts w:ascii="Times New Roman" w:eastAsia="Times New Roman" w:hAnsi="Times New Roman" w:cs="Times New Roman"/>
                <w:sz w:val="24"/>
                <w:szCs w:val="24"/>
                <w:lang w:eastAsia="en-IN"/>
              </w:rPr>
            </w:pPr>
            <w:r w:rsidRPr="00AD2FA6">
              <w:rPr>
                <w:rFonts w:ascii="Times New Roman" w:eastAsia="Times New Roman" w:hAnsi="Times New Roman" w:cs="Times New Roman"/>
                <w:sz w:val="24"/>
                <w:szCs w:val="24"/>
                <w:lang w:eastAsia="en-IN"/>
              </w:rPr>
              <w:t>South Asia, UK</w:t>
            </w:r>
          </w:p>
        </w:tc>
      </w:tr>
      <w:tr w:rsidR="00A62D22" w:rsidRPr="00AD2FA6" w:rsidTr="00AD2980">
        <w:trPr>
          <w:trHeight w:val="269"/>
          <w:tblCellSpacing w:w="15" w:type="dxa"/>
        </w:trPr>
        <w:tc>
          <w:tcPr>
            <w:tcW w:w="0" w:type="auto"/>
            <w:vAlign w:val="center"/>
            <w:hideMark/>
          </w:tcPr>
          <w:p w:rsidR="00A62D22" w:rsidRPr="00AD2FA6" w:rsidRDefault="00A62D22" w:rsidP="00AD2FA6">
            <w:pPr>
              <w:spacing w:after="0" w:line="360" w:lineRule="auto"/>
              <w:jc w:val="both"/>
              <w:rPr>
                <w:rFonts w:ascii="Times New Roman" w:eastAsia="Times New Roman" w:hAnsi="Times New Roman" w:cs="Times New Roman"/>
                <w:sz w:val="24"/>
                <w:szCs w:val="24"/>
                <w:lang w:eastAsia="en-IN"/>
              </w:rPr>
            </w:pPr>
            <w:r w:rsidRPr="00AD2FA6">
              <w:rPr>
                <w:rFonts w:ascii="Times New Roman" w:eastAsia="Times New Roman" w:hAnsi="Times New Roman" w:cs="Times New Roman"/>
                <w:sz w:val="24"/>
                <w:szCs w:val="24"/>
                <w:lang w:eastAsia="en-IN"/>
              </w:rPr>
              <w:t>Buddhism</w:t>
            </w:r>
          </w:p>
        </w:tc>
        <w:tc>
          <w:tcPr>
            <w:tcW w:w="0" w:type="auto"/>
            <w:vAlign w:val="center"/>
            <w:hideMark/>
          </w:tcPr>
          <w:p w:rsidR="00A62D22" w:rsidRPr="00AD2FA6" w:rsidRDefault="00A62D22" w:rsidP="00AD2FA6">
            <w:pPr>
              <w:spacing w:after="0" w:line="360" w:lineRule="auto"/>
              <w:jc w:val="both"/>
              <w:rPr>
                <w:rFonts w:ascii="Times New Roman" w:eastAsia="Times New Roman" w:hAnsi="Times New Roman" w:cs="Times New Roman"/>
                <w:sz w:val="24"/>
                <w:szCs w:val="24"/>
                <w:lang w:eastAsia="en-IN"/>
              </w:rPr>
            </w:pPr>
            <w:r w:rsidRPr="00AD2FA6">
              <w:rPr>
                <w:rFonts w:ascii="Times New Roman" w:eastAsia="Times New Roman" w:hAnsi="Times New Roman" w:cs="Times New Roman"/>
                <w:sz w:val="24"/>
                <w:szCs w:val="24"/>
                <w:lang w:eastAsia="en-IN"/>
              </w:rPr>
              <w:t>3</w:t>
            </w:r>
          </w:p>
        </w:tc>
        <w:tc>
          <w:tcPr>
            <w:tcW w:w="0" w:type="auto"/>
            <w:vAlign w:val="center"/>
            <w:hideMark/>
          </w:tcPr>
          <w:p w:rsidR="00A62D22" w:rsidRPr="00AD2FA6" w:rsidRDefault="00A62D22" w:rsidP="00AD2FA6">
            <w:pPr>
              <w:spacing w:after="0" w:line="360" w:lineRule="auto"/>
              <w:jc w:val="both"/>
              <w:rPr>
                <w:rFonts w:ascii="Times New Roman" w:eastAsia="Times New Roman" w:hAnsi="Times New Roman" w:cs="Times New Roman"/>
                <w:sz w:val="24"/>
                <w:szCs w:val="24"/>
                <w:lang w:eastAsia="en-IN"/>
              </w:rPr>
            </w:pPr>
            <w:r w:rsidRPr="00AD2FA6">
              <w:rPr>
                <w:rFonts w:ascii="Times New Roman" w:eastAsia="Times New Roman" w:hAnsi="Times New Roman" w:cs="Times New Roman"/>
                <w:sz w:val="24"/>
                <w:szCs w:val="24"/>
                <w:lang w:eastAsia="en-IN"/>
              </w:rPr>
              <w:t>East Asia, Australia</w:t>
            </w:r>
          </w:p>
        </w:tc>
      </w:tr>
      <w:tr w:rsidR="00A62D22" w:rsidRPr="00AD2FA6" w:rsidTr="00AD2980">
        <w:trPr>
          <w:trHeight w:val="281"/>
          <w:tblCellSpacing w:w="15" w:type="dxa"/>
        </w:trPr>
        <w:tc>
          <w:tcPr>
            <w:tcW w:w="0" w:type="auto"/>
            <w:vAlign w:val="center"/>
            <w:hideMark/>
          </w:tcPr>
          <w:p w:rsidR="00A62D22" w:rsidRPr="00AD2FA6" w:rsidRDefault="00A62D22" w:rsidP="00AD2FA6">
            <w:pPr>
              <w:spacing w:after="0" w:line="360" w:lineRule="auto"/>
              <w:jc w:val="both"/>
              <w:rPr>
                <w:rFonts w:ascii="Times New Roman" w:eastAsia="Times New Roman" w:hAnsi="Times New Roman" w:cs="Times New Roman"/>
                <w:sz w:val="24"/>
                <w:szCs w:val="24"/>
                <w:lang w:eastAsia="en-IN"/>
              </w:rPr>
            </w:pPr>
            <w:r w:rsidRPr="00AD2FA6">
              <w:rPr>
                <w:rFonts w:ascii="Times New Roman" w:eastAsia="Times New Roman" w:hAnsi="Times New Roman" w:cs="Times New Roman"/>
                <w:sz w:val="24"/>
                <w:szCs w:val="24"/>
                <w:lang w:eastAsia="en-IN"/>
              </w:rPr>
              <w:t>Sikhism</w:t>
            </w:r>
          </w:p>
        </w:tc>
        <w:tc>
          <w:tcPr>
            <w:tcW w:w="0" w:type="auto"/>
            <w:vAlign w:val="center"/>
            <w:hideMark/>
          </w:tcPr>
          <w:p w:rsidR="00A62D22" w:rsidRPr="00AD2FA6" w:rsidRDefault="00A62D22" w:rsidP="00AD2FA6">
            <w:pPr>
              <w:spacing w:after="0" w:line="360" w:lineRule="auto"/>
              <w:jc w:val="both"/>
              <w:rPr>
                <w:rFonts w:ascii="Times New Roman" w:eastAsia="Times New Roman" w:hAnsi="Times New Roman" w:cs="Times New Roman"/>
                <w:sz w:val="24"/>
                <w:szCs w:val="24"/>
                <w:lang w:eastAsia="en-IN"/>
              </w:rPr>
            </w:pPr>
            <w:r w:rsidRPr="00AD2FA6">
              <w:rPr>
                <w:rFonts w:ascii="Times New Roman" w:eastAsia="Times New Roman" w:hAnsi="Times New Roman" w:cs="Times New Roman"/>
                <w:sz w:val="24"/>
                <w:szCs w:val="24"/>
                <w:lang w:eastAsia="en-IN"/>
              </w:rPr>
              <w:t>2</w:t>
            </w:r>
          </w:p>
        </w:tc>
        <w:tc>
          <w:tcPr>
            <w:tcW w:w="0" w:type="auto"/>
            <w:vAlign w:val="center"/>
            <w:hideMark/>
          </w:tcPr>
          <w:p w:rsidR="00A62D22" w:rsidRPr="00AD2FA6" w:rsidRDefault="00A62D22" w:rsidP="00AD2FA6">
            <w:pPr>
              <w:spacing w:after="0" w:line="360" w:lineRule="auto"/>
              <w:jc w:val="both"/>
              <w:rPr>
                <w:rFonts w:ascii="Times New Roman" w:eastAsia="Times New Roman" w:hAnsi="Times New Roman" w:cs="Times New Roman"/>
                <w:sz w:val="24"/>
                <w:szCs w:val="24"/>
                <w:lang w:eastAsia="en-IN"/>
              </w:rPr>
            </w:pPr>
            <w:r w:rsidRPr="00AD2FA6">
              <w:rPr>
                <w:rFonts w:ascii="Times New Roman" w:eastAsia="Times New Roman" w:hAnsi="Times New Roman" w:cs="Times New Roman"/>
                <w:sz w:val="24"/>
                <w:szCs w:val="24"/>
                <w:lang w:eastAsia="en-IN"/>
              </w:rPr>
              <w:t>Canada, UK</w:t>
            </w:r>
          </w:p>
        </w:tc>
      </w:tr>
      <w:tr w:rsidR="00A62D22" w:rsidRPr="00AD2FA6" w:rsidTr="00AD2980">
        <w:trPr>
          <w:trHeight w:val="281"/>
          <w:tblCellSpacing w:w="15" w:type="dxa"/>
        </w:trPr>
        <w:tc>
          <w:tcPr>
            <w:tcW w:w="0" w:type="auto"/>
            <w:vAlign w:val="center"/>
            <w:hideMark/>
          </w:tcPr>
          <w:p w:rsidR="00A62D22" w:rsidRPr="00AD2FA6" w:rsidRDefault="00A62D22" w:rsidP="00AD2FA6">
            <w:pPr>
              <w:spacing w:after="0" w:line="360" w:lineRule="auto"/>
              <w:jc w:val="both"/>
              <w:rPr>
                <w:rFonts w:ascii="Times New Roman" w:eastAsia="Times New Roman" w:hAnsi="Times New Roman" w:cs="Times New Roman"/>
                <w:sz w:val="24"/>
                <w:szCs w:val="24"/>
                <w:lang w:eastAsia="en-IN"/>
              </w:rPr>
            </w:pPr>
            <w:r w:rsidRPr="00AD2FA6">
              <w:rPr>
                <w:rFonts w:ascii="Times New Roman" w:eastAsia="Times New Roman" w:hAnsi="Times New Roman" w:cs="Times New Roman"/>
                <w:sz w:val="24"/>
                <w:szCs w:val="24"/>
                <w:lang w:eastAsia="en-IN"/>
              </w:rPr>
              <w:t>Mixed/Interfaith</w:t>
            </w:r>
          </w:p>
        </w:tc>
        <w:tc>
          <w:tcPr>
            <w:tcW w:w="0" w:type="auto"/>
            <w:vAlign w:val="center"/>
            <w:hideMark/>
          </w:tcPr>
          <w:p w:rsidR="00A62D22" w:rsidRPr="00AD2FA6" w:rsidRDefault="00A62D22" w:rsidP="00AD2FA6">
            <w:pPr>
              <w:spacing w:after="0" w:line="360" w:lineRule="auto"/>
              <w:jc w:val="both"/>
              <w:rPr>
                <w:rFonts w:ascii="Times New Roman" w:eastAsia="Times New Roman" w:hAnsi="Times New Roman" w:cs="Times New Roman"/>
                <w:sz w:val="24"/>
                <w:szCs w:val="24"/>
                <w:lang w:eastAsia="en-IN"/>
              </w:rPr>
            </w:pPr>
            <w:r w:rsidRPr="00AD2FA6">
              <w:rPr>
                <w:rFonts w:ascii="Times New Roman" w:eastAsia="Times New Roman" w:hAnsi="Times New Roman" w:cs="Times New Roman"/>
                <w:sz w:val="24"/>
                <w:szCs w:val="24"/>
                <w:lang w:eastAsia="en-IN"/>
              </w:rPr>
              <w:t>2</w:t>
            </w:r>
          </w:p>
        </w:tc>
        <w:tc>
          <w:tcPr>
            <w:tcW w:w="0" w:type="auto"/>
            <w:vAlign w:val="center"/>
            <w:hideMark/>
          </w:tcPr>
          <w:p w:rsidR="00A62D22" w:rsidRPr="00AD2FA6" w:rsidRDefault="00A62D22" w:rsidP="00AD2FA6">
            <w:pPr>
              <w:spacing w:after="0" w:line="360" w:lineRule="auto"/>
              <w:jc w:val="both"/>
              <w:rPr>
                <w:rFonts w:ascii="Times New Roman" w:eastAsia="Times New Roman" w:hAnsi="Times New Roman" w:cs="Times New Roman"/>
                <w:sz w:val="24"/>
                <w:szCs w:val="24"/>
                <w:lang w:eastAsia="en-IN"/>
              </w:rPr>
            </w:pPr>
            <w:r w:rsidRPr="00AD2FA6">
              <w:rPr>
                <w:rFonts w:ascii="Times New Roman" w:eastAsia="Times New Roman" w:hAnsi="Times New Roman" w:cs="Times New Roman"/>
                <w:sz w:val="24"/>
                <w:szCs w:val="24"/>
                <w:lang w:eastAsia="en-IN"/>
              </w:rPr>
              <w:t>Global/Multicultural Institutions</w:t>
            </w:r>
          </w:p>
        </w:tc>
      </w:tr>
    </w:tbl>
    <w:p w:rsidR="00A62D22" w:rsidRPr="00AD2FA6" w:rsidRDefault="00A62D22" w:rsidP="00AD2FA6">
      <w:pPr>
        <w:spacing w:before="100" w:beforeAutospacing="1" w:after="100" w:afterAutospacing="1" w:line="360" w:lineRule="auto"/>
        <w:jc w:val="both"/>
        <w:rPr>
          <w:rFonts w:ascii="Times New Roman" w:eastAsia="Times New Roman" w:hAnsi="Times New Roman" w:cs="Times New Roman"/>
          <w:sz w:val="24"/>
          <w:szCs w:val="24"/>
          <w:lang w:eastAsia="en-IN"/>
        </w:rPr>
      </w:pPr>
      <w:r w:rsidRPr="00AD2FA6">
        <w:rPr>
          <w:rFonts w:ascii="Times New Roman" w:eastAsia="Times New Roman" w:hAnsi="Times New Roman" w:cs="Times New Roman"/>
          <w:b/>
          <w:bCs/>
          <w:sz w:val="24"/>
          <w:szCs w:val="24"/>
          <w:lang w:eastAsia="en-IN"/>
        </w:rPr>
        <w:t>Findings and Discussion</w:t>
      </w:r>
    </w:p>
    <w:p w:rsidR="00AD2980" w:rsidRPr="00AD2FA6" w:rsidRDefault="00A62D22" w:rsidP="00AD2FA6">
      <w:pPr>
        <w:spacing w:before="100" w:beforeAutospacing="1" w:after="100" w:afterAutospacing="1" w:line="360" w:lineRule="auto"/>
        <w:jc w:val="both"/>
        <w:rPr>
          <w:rFonts w:ascii="Times New Roman" w:eastAsia="Times New Roman" w:hAnsi="Times New Roman" w:cs="Times New Roman"/>
          <w:b/>
          <w:bCs/>
          <w:sz w:val="24"/>
          <w:szCs w:val="24"/>
          <w:lang w:eastAsia="en-IN"/>
        </w:rPr>
      </w:pPr>
      <w:r w:rsidRPr="00AD2FA6">
        <w:rPr>
          <w:rFonts w:ascii="Times New Roman" w:eastAsia="Times New Roman" w:hAnsi="Times New Roman" w:cs="Times New Roman"/>
          <w:b/>
          <w:bCs/>
          <w:sz w:val="24"/>
          <w:szCs w:val="24"/>
          <w:lang w:eastAsia="en-IN"/>
        </w:rPr>
        <w:t>Faith as a Coping Mechanism</w:t>
      </w:r>
    </w:p>
    <w:p w:rsidR="000E6C18" w:rsidRPr="00AD2FA6" w:rsidRDefault="0030105A" w:rsidP="00AD2FA6">
      <w:pPr>
        <w:spacing w:line="360" w:lineRule="auto"/>
        <w:jc w:val="both"/>
        <w:rPr>
          <w:rFonts w:ascii="Times New Roman" w:hAnsi="Times New Roman" w:cs="Times New Roman"/>
          <w:sz w:val="24"/>
          <w:szCs w:val="24"/>
        </w:rPr>
      </w:pPr>
      <w:r w:rsidRPr="00AD2FA6">
        <w:rPr>
          <w:rFonts w:ascii="Times New Roman" w:hAnsi="Times New Roman" w:cs="Times New Roman"/>
          <w:sz w:val="24"/>
          <w:szCs w:val="24"/>
        </w:rPr>
        <w:t>The cultural shift led people to use their religious traditions as core tools to manage their responses to the changes. Prayer along with meditation and sacred texts and communal rituals provided psychological stability to students through emotional regulation (Khawaja &amp; Stallman, 2011). Muslim students cited their daily prayers function as a religious time marker to maintain their spiritual link across different geographic areas. Christian students experienced comfort during worship services online and devotional reading because physical religious attendance was restricted (Constantine et al., 2004). Wild practices implemented by Muslims both reduced cultural adjustment tension and strengthened self-coherence against changing environmental social norms.</w:t>
      </w:r>
    </w:p>
    <w:p w:rsidR="00A62D22" w:rsidRPr="00AD2FA6" w:rsidRDefault="00A62D22" w:rsidP="00AD2FA6">
      <w:pPr>
        <w:spacing w:before="100" w:beforeAutospacing="1" w:after="100" w:afterAutospacing="1" w:line="360" w:lineRule="auto"/>
        <w:jc w:val="both"/>
        <w:rPr>
          <w:rFonts w:ascii="Times New Roman" w:eastAsia="Times New Roman" w:hAnsi="Times New Roman" w:cs="Times New Roman"/>
          <w:sz w:val="24"/>
          <w:szCs w:val="24"/>
          <w:lang w:eastAsia="en-IN"/>
        </w:rPr>
      </w:pPr>
      <w:r w:rsidRPr="00AD2FA6">
        <w:rPr>
          <w:rFonts w:ascii="Times New Roman" w:eastAsia="Times New Roman" w:hAnsi="Times New Roman" w:cs="Times New Roman"/>
          <w:sz w:val="24"/>
          <w:szCs w:val="24"/>
          <w:lang w:eastAsia="en-IN"/>
        </w:rPr>
        <w:t>A synthesis of coping practices reported is presented below:</w:t>
      </w:r>
    </w:p>
    <w:tbl>
      <w:tblPr>
        <w:tblW w:w="895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329"/>
        <w:gridCol w:w="5621"/>
      </w:tblGrid>
      <w:tr w:rsidR="00A62D22" w:rsidRPr="00AD2FA6" w:rsidTr="00AD2980">
        <w:trPr>
          <w:trHeight w:val="267"/>
          <w:tblCellSpacing w:w="15" w:type="dxa"/>
        </w:trPr>
        <w:tc>
          <w:tcPr>
            <w:tcW w:w="0" w:type="auto"/>
            <w:vAlign w:val="center"/>
            <w:hideMark/>
          </w:tcPr>
          <w:p w:rsidR="00A62D22" w:rsidRPr="00AD2FA6" w:rsidRDefault="00A62D22" w:rsidP="00AD2FA6">
            <w:pPr>
              <w:spacing w:after="0" w:line="360" w:lineRule="auto"/>
              <w:jc w:val="both"/>
              <w:rPr>
                <w:rFonts w:ascii="Times New Roman" w:eastAsia="Times New Roman" w:hAnsi="Times New Roman" w:cs="Times New Roman"/>
                <w:sz w:val="24"/>
                <w:szCs w:val="24"/>
                <w:lang w:eastAsia="en-IN"/>
              </w:rPr>
            </w:pPr>
            <w:r w:rsidRPr="00AD2FA6">
              <w:rPr>
                <w:rFonts w:ascii="Times New Roman" w:eastAsia="Times New Roman" w:hAnsi="Times New Roman" w:cs="Times New Roman"/>
                <w:sz w:val="24"/>
                <w:szCs w:val="24"/>
                <w:lang w:eastAsia="en-IN"/>
              </w:rPr>
              <w:t>Religious Practice</w:t>
            </w:r>
          </w:p>
        </w:tc>
        <w:tc>
          <w:tcPr>
            <w:tcW w:w="0" w:type="auto"/>
            <w:vAlign w:val="center"/>
            <w:hideMark/>
          </w:tcPr>
          <w:p w:rsidR="00A62D22" w:rsidRPr="00AD2FA6" w:rsidRDefault="00A62D22" w:rsidP="00AD2FA6">
            <w:pPr>
              <w:spacing w:after="0" w:line="360" w:lineRule="auto"/>
              <w:jc w:val="both"/>
              <w:rPr>
                <w:rFonts w:ascii="Times New Roman" w:eastAsia="Times New Roman" w:hAnsi="Times New Roman" w:cs="Times New Roman"/>
                <w:sz w:val="24"/>
                <w:szCs w:val="24"/>
                <w:lang w:eastAsia="en-IN"/>
              </w:rPr>
            </w:pPr>
            <w:r w:rsidRPr="00AD2FA6">
              <w:rPr>
                <w:rFonts w:ascii="Times New Roman" w:eastAsia="Times New Roman" w:hAnsi="Times New Roman" w:cs="Times New Roman"/>
                <w:sz w:val="24"/>
                <w:szCs w:val="24"/>
                <w:lang w:eastAsia="en-IN"/>
              </w:rPr>
              <w:t>Percentage of Participants Reporting Benefit</w:t>
            </w:r>
          </w:p>
        </w:tc>
      </w:tr>
      <w:tr w:rsidR="00A62D22" w:rsidRPr="00AD2FA6" w:rsidTr="00AD2980">
        <w:trPr>
          <w:trHeight w:val="256"/>
          <w:tblCellSpacing w:w="15" w:type="dxa"/>
        </w:trPr>
        <w:tc>
          <w:tcPr>
            <w:tcW w:w="0" w:type="auto"/>
            <w:vAlign w:val="center"/>
            <w:hideMark/>
          </w:tcPr>
          <w:p w:rsidR="00A62D22" w:rsidRPr="00AD2FA6" w:rsidRDefault="00A62D22" w:rsidP="00AD2FA6">
            <w:pPr>
              <w:spacing w:after="0" w:line="360" w:lineRule="auto"/>
              <w:jc w:val="both"/>
              <w:rPr>
                <w:rFonts w:ascii="Times New Roman" w:eastAsia="Times New Roman" w:hAnsi="Times New Roman" w:cs="Times New Roman"/>
                <w:sz w:val="24"/>
                <w:szCs w:val="24"/>
                <w:lang w:eastAsia="en-IN"/>
              </w:rPr>
            </w:pPr>
            <w:r w:rsidRPr="00AD2FA6">
              <w:rPr>
                <w:rFonts w:ascii="Times New Roman" w:eastAsia="Times New Roman" w:hAnsi="Times New Roman" w:cs="Times New Roman"/>
                <w:sz w:val="24"/>
                <w:szCs w:val="24"/>
                <w:lang w:eastAsia="en-IN"/>
              </w:rPr>
              <w:t>Daily Prayer</w:t>
            </w:r>
          </w:p>
        </w:tc>
        <w:tc>
          <w:tcPr>
            <w:tcW w:w="0" w:type="auto"/>
            <w:vAlign w:val="center"/>
            <w:hideMark/>
          </w:tcPr>
          <w:p w:rsidR="00A62D22" w:rsidRPr="00AD2FA6" w:rsidRDefault="00A62D22" w:rsidP="00AD2FA6">
            <w:pPr>
              <w:spacing w:after="0" w:line="360" w:lineRule="auto"/>
              <w:jc w:val="both"/>
              <w:rPr>
                <w:rFonts w:ascii="Times New Roman" w:eastAsia="Times New Roman" w:hAnsi="Times New Roman" w:cs="Times New Roman"/>
                <w:sz w:val="24"/>
                <w:szCs w:val="24"/>
                <w:lang w:eastAsia="en-IN"/>
              </w:rPr>
            </w:pPr>
            <w:r w:rsidRPr="00AD2FA6">
              <w:rPr>
                <w:rFonts w:ascii="Times New Roman" w:eastAsia="Times New Roman" w:hAnsi="Times New Roman" w:cs="Times New Roman"/>
                <w:sz w:val="24"/>
                <w:szCs w:val="24"/>
                <w:lang w:eastAsia="en-IN"/>
              </w:rPr>
              <w:t>72%</w:t>
            </w:r>
          </w:p>
        </w:tc>
      </w:tr>
      <w:tr w:rsidR="00A62D22" w:rsidRPr="00AD2FA6" w:rsidTr="00AD2980">
        <w:trPr>
          <w:trHeight w:val="267"/>
          <w:tblCellSpacing w:w="15" w:type="dxa"/>
        </w:trPr>
        <w:tc>
          <w:tcPr>
            <w:tcW w:w="0" w:type="auto"/>
            <w:vAlign w:val="center"/>
            <w:hideMark/>
          </w:tcPr>
          <w:p w:rsidR="00A62D22" w:rsidRPr="00AD2FA6" w:rsidRDefault="00A62D22" w:rsidP="00AD2FA6">
            <w:pPr>
              <w:spacing w:after="0" w:line="360" w:lineRule="auto"/>
              <w:jc w:val="both"/>
              <w:rPr>
                <w:rFonts w:ascii="Times New Roman" w:eastAsia="Times New Roman" w:hAnsi="Times New Roman" w:cs="Times New Roman"/>
                <w:sz w:val="24"/>
                <w:szCs w:val="24"/>
                <w:lang w:eastAsia="en-IN"/>
              </w:rPr>
            </w:pPr>
            <w:r w:rsidRPr="00AD2FA6">
              <w:rPr>
                <w:rFonts w:ascii="Times New Roman" w:eastAsia="Times New Roman" w:hAnsi="Times New Roman" w:cs="Times New Roman"/>
                <w:sz w:val="24"/>
                <w:szCs w:val="24"/>
                <w:lang w:eastAsia="en-IN"/>
              </w:rPr>
              <w:t>Scriptural Study</w:t>
            </w:r>
          </w:p>
        </w:tc>
        <w:tc>
          <w:tcPr>
            <w:tcW w:w="0" w:type="auto"/>
            <w:vAlign w:val="center"/>
            <w:hideMark/>
          </w:tcPr>
          <w:p w:rsidR="00A62D22" w:rsidRPr="00AD2FA6" w:rsidRDefault="00A62D22" w:rsidP="00AD2FA6">
            <w:pPr>
              <w:spacing w:after="0" w:line="360" w:lineRule="auto"/>
              <w:jc w:val="both"/>
              <w:rPr>
                <w:rFonts w:ascii="Times New Roman" w:eastAsia="Times New Roman" w:hAnsi="Times New Roman" w:cs="Times New Roman"/>
                <w:sz w:val="24"/>
                <w:szCs w:val="24"/>
                <w:lang w:eastAsia="en-IN"/>
              </w:rPr>
            </w:pPr>
            <w:r w:rsidRPr="00AD2FA6">
              <w:rPr>
                <w:rFonts w:ascii="Times New Roman" w:eastAsia="Times New Roman" w:hAnsi="Times New Roman" w:cs="Times New Roman"/>
                <w:sz w:val="24"/>
                <w:szCs w:val="24"/>
                <w:lang w:eastAsia="en-IN"/>
              </w:rPr>
              <w:t>60%</w:t>
            </w:r>
          </w:p>
        </w:tc>
      </w:tr>
      <w:tr w:rsidR="00A62D22" w:rsidRPr="00AD2FA6" w:rsidTr="00AD2980">
        <w:trPr>
          <w:trHeight w:val="267"/>
          <w:tblCellSpacing w:w="15" w:type="dxa"/>
        </w:trPr>
        <w:tc>
          <w:tcPr>
            <w:tcW w:w="0" w:type="auto"/>
            <w:vAlign w:val="center"/>
            <w:hideMark/>
          </w:tcPr>
          <w:p w:rsidR="00A62D22" w:rsidRPr="00AD2FA6" w:rsidRDefault="00A62D22" w:rsidP="00AD2FA6">
            <w:pPr>
              <w:spacing w:after="0" w:line="360" w:lineRule="auto"/>
              <w:jc w:val="both"/>
              <w:rPr>
                <w:rFonts w:ascii="Times New Roman" w:eastAsia="Times New Roman" w:hAnsi="Times New Roman" w:cs="Times New Roman"/>
                <w:sz w:val="24"/>
                <w:szCs w:val="24"/>
                <w:lang w:eastAsia="en-IN"/>
              </w:rPr>
            </w:pPr>
            <w:r w:rsidRPr="00AD2FA6">
              <w:rPr>
                <w:rFonts w:ascii="Times New Roman" w:eastAsia="Times New Roman" w:hAnsi="Times New Roman" w:cs="Times New Roman"/>
                <w:sz w:val="24"/>
                <w:szCs w:val="24"/>
                <w:lang w:eastAsia="en-IN"/>
              </w:rPr>
              <w:t>Faith-based Counseling</w:t>
            </w:r>
          </w:p>
        </w:tc>
        <w:tc>
          <w:tcPr>
            <w:tcW w:w="0" w:type="auto"/>
            <w:vAlign w:val="center"/>
            <w:hideMark/>
          </w:tcPr>
          <w:p w:rsidR="00A62D22" w:rsidRPr="00AD2FA6" w:rsidRDefault="00A62D22" w:rsidP="00AD2FA6">
            <w:pPr>
              <w:spacing w:after="0" w:line="360" w:lineRule="auto"/>
              <w:jc w:val="both"/>
              <w:rPr>
                <w:rFonts w:ascii="Times New Roman" w:eastAsia="Times New Roman" w:hAnsi="Times New Roman" w:cs="Times New Roman"/>
                <w:sz w:val="24"/>
                <w:szCs w:val="24"/>
                <w:lang w:eastAsia="en-IN"/>
              </w:rPr>
            </w:pPr>
            <w:r w:rsidRPr="00AD2FA6">
              <w:rPr>
                <w:rFonts w:ascii="Times New Roman" w:eastAsia="Times New Roman" w:hAnsi="Times New Roman" w:cs="Times New Roman"/>
                <w:sz w:val="24"/>
                <w:szCs w:val="24"/>
                <w:lang w:eastAsia="en-IN"/>
              </w:rPr>
              <w:t>45%</w:t>
            </w:r>
          </w:p>
        </w:tc>
      </w:tr>
      <w:tr w:rsidR="00A62D22" w:rsidRPr="00AD2FA6" w:rsidTr="00AD2980">
        <w:trPr>
          <w:trHeight w:val="256"/>
          <w:tblCellSpacing w:w="15" w:type="dxa"/>
        </w:trPr>
        <w:tc>
          <w:tcPr>
            <w:tcW w:w="0" w:type="auto"/>
            <w:vAlign w:val="center"/>
            <w:hideMark/>
          </w:tcPr>
          <w:p w:rsidR="00A62D22" w:rsidRPr="00AD2FA6" w:rsidRDefault="00A62D22" w:rsidP="00AD2FA6">
            <w:pPr>
              <w:spacing w:after="0" w:line="360" w:lineRule="auto"/>
              <w:jc w:val="both"/>
              <w:rPr>
                <w:rFonts w:ascii="Times New Roman" w:eastAsia="Times New Roman" w:hAnsi="Times New Roman" w:cs="Times New Roman"/>
                <w:sz w:val="24"/>
                <w:szCs w:val="24"/>
                <w:lang w:eastAsia="en-IN"/>
              </w:rPr>
            </w:pPr>
            <w:r w:rsidRPr="00AD2FA6">
              <w:rPr>
                <w:rFonts w:ascii="Times New Roman" w:eastAsia="Times New Roman" w:hAnsi="Times New Roman" w:cs="Times New Roman"/>
                <w:sz w:val="24"/>
                <w:szCs w:val="24"/>
                <w:lang w:eastAsia="en-IN"/>
              </w:rPr>
              <w:t>Online Religious Services</w:t>
            </w:r>
          </w:p>
        </w:tc>
        <w:tc>
          <w:tcPr>
            <w:tcW w:w="0" w:type="auto"/>
            <w:vAlign w:val="center"/>
            <w:hideMark/>
          </w:tcPr>
          <w:p w:rsidR="00A62D22" w:rsidRPr="00AD2FA6" w:rsidRDefault="00A62D22" w:rsidP="00AD2FA6">
            <w:pPr>
              <w:spacing w:after="0" w:line="360" w:lineRule="auto"/>
              <w:jc w:val="both"/>
              <w:rPr>
                <w:rFonts w:ascii="Times New Roman" w:eastAsia="Times New Roman" w:hAnsi="Times New Roman" w:cs="Times New Roman"/>
                <w:sz w:val="24"/>
                <w:szCs w:val="24"/>
                <w:lang w:eastAsia="en-IN"/>
              </w:rPr>
            </w:pPr>
            <w:r w:rsidRPr="00AD2FA6">
              <w:rPr>
                <w:rFonts w:ascii="Times New Roman" w:eastAsia="Times New Roman" w:hAnsi="Times New Roman" w:cs="Times New Roman"/>
                <w:sz w:val="24"/>
                <w:szCs w:val="24"/>
                <w:lang w:eastAsia="en-IN"/>
              </w:rPr>
              <w:t>53%</w:t>
            </w:r>
          </w:p>
        </w:tc>
      </w:tr>
      <w:tr w:rsidR="00A62D22" w:rsidRPr="00AD2FA6" w:rsidTr="00AD2980">
        <w:trPr>
          <w:trHeight w:val="267"/>
          <w:tblCellSpacing w:w="15" w:type="dxa"/>
        </w:trPr>
        <w:tc>
          <w:tcPr>
            <w:tcW w:w="0" w:type="auto"/>
            <w:vAlign w:val="center"/>
            <w:hideMark/>
          </w:tcPr>
          <w:p w:rsidR="00A62D22" w:rsidRPr="00AD2FA6" w:rsidRDefault="00A62D22" w:rsidP="00AD2FA6">
            <w:pPr>
              <w:spacing w:after="0" w:line="360" w:lineRule="auto"/>
              <w:jc w:val="both"/>
              <w:rPr>
                <w:rFonts w:ascii="Times New Roman" w:eastAsia="Times New Roman" w:hAnsi="Times New Roman" w:cs="Times New Roman"/>
                <w:sz w:val="24"/>
                <w:szCs w:val="24"/>
                <w:lang w:eastAsia="en-IN"/>
              </w:rPr>
            </w:pPr>
            <w:r w:rsidRPr="00AD2FA6">
              <w:rPr>
                <w:rFonts w:ascii="Times New Roman" w:eastAsia="Times New Roman" w:hAnsi="Times New Roman" w:cs="Times New Roman"/>
                <w:sz w:val="24"/>
                <w:szCs w:val="24"/>
                <w:lang w:eastAsia="en-IN"/>
              </w:rPr>
              <w:t>Meditation or Chanting</w:t>
            </w:r>
          </w:p>
        </w:tc>
        <w:tc>
          <w:tcPr>
            <w:tcW w:w="0" w:type="auto"/>
            <w:vAlign w:val="center"/>
            <w:hideMark/>
          </w:tcPr>
          <w:p w:rsidR="00A62D22" w:rsidRPr="00AD2FA6" w:rsidRDefault="00A62D22" w:rsidP="00AD2FA6">
            <w:pPr>
              <w:spacing w:after="0" w:line="360" w:lineRule="auto"/>
              <w:jc w:val="both"/>
              <w:rPr>
                <w:rFonts w:ascii="Times New Roman" w:eastAsia="Times New Roman" w:hAnsi="Times New Roman" w:cs="Times New Roman"/>
                <w:sz w:val="24"/>
                <w:szCs w:val="24"/>
                <w:lang w:eastAsia="en-IN"/>
              </w:rPr>
            </w:pPr>
            <w:r w:rsidRPr="00AD2FA6">
              <w:rPr>
                <w:rFonts w:ascii="Times New Roman" w:eastAsia="Times New Roman" w:hAnsi="Times New Roman" w:cs="Times New Roman"/>
                <w:sz w:val="24"/>
                <w:szCs w:val="24"/>
                <w:lang w:eastAsia="en-IN"/>
              </w:rPr>
              <w:t>38%</w:t>
            </w:r>
          </w:p>
        </w:tc>
      </w:tr>
    </w:tbl>
    <w:p w:rsidR="00AD2980" w:rsidRPr="00AD2FA6" w:rsidRDefault="00A62D22" w:rsidP="00AD2FA6">
      <w:pPr>
        <w:spacing w:before="100" w:beforeAutospacing="1" w:after="100" w:afterAutospacing="1" w:line="360" w:lineRule="auto"/>
        <w:jc w:val="both"/>
        <w:rPr>
          <w:rFonts w:ascii="Times New Roman" w:eastAsia="Times New Roman" w:hAnsi="Times New Roman" w:cs="Times New Roman"/>
          <w:b/>
          <w:bCs/>
          <w:sz w:val="24"/>
          <w:szCs w:val="24"/>
          <w:lang w:eastAsia="en-IN"/>
        </w:rPr>
      </w:pPr>
      <w:r w:rsidRPr="00AD2FA6">
        <w:rPr>
          <w:rFonts w:ascii="Times New Roman" w:eastAsia="Times New Roman" w:hAnsi="Times New Roman" w:cs="Times New Roman"/>
          <w:b/>
          <w:bCs/>
          <w:sz w:val="24"/>
          <w:szCs w:val="24"/>
          <w:lang w:eastAsia="en-IN"/>
        </w:rPr>
        <w:t>Community and Belonging</w:t>
      </w:r>
    </w:p>
    <w:p w:rsidR="000E6C18" w:rsidRPr="00AD2FA6" w:rsidRDefault="000E6C18" w:rsidP="00AD2FA6">
      <w:pPr>
        <w:spacing w:line="360" w:lineRule="auto"/>
        <w:jc w:val="both"/>
        <w:rPr>
          <w:rFonts w:ascii="Times New Roman" w:hAnsi="Times New Roman" w:cs="Times New Roman"/>
          <w:sz w:val="24"/>
          <w:szCs w:val="24"/>
        </w:rPr>
      </w:pPr>
      <w:r w:rsidRPr="00AD2FA6">
        <w:rPr>
          <w:rFonts w:ascii="Times New Roman" w:hAnsi="Times New Roman" w:cs="Times New Roman"/>
          <w:sz w:val="24"/>
          <w:szCs w:val="24"/>
        </w:rPr>
        <w:t xml:space="preserve">Business organizations led by faith played a vital role for students by providing spaces where they could connect socially and encounter familiar cultural environments and spiritual support </w:t>
      </w:r>
      <w:r w:rsidRPr="00AD2FA6">
        <w:rPr>
          <w:rFonts w:ascii="Times New Roman" w:hAnsi="Times New Roman" w:cs="Times New Roman"/>
          <w:sz w:val="24"/>
          <w:szCs w:val="24"/>
        </w:rPr>
        <w:lastRenderedPageBreak/>
        <w:t xml:space="preserve">(Leong, 2015; Tran, 2013). </w:t>
      </w:r>
      <w:r w:rsidR="00AD2FA6" w:rsidRPr="00AD2FA6">
        <w:rPr>
          <w:rFonts w:ascii="Times New Roman" w:hAnsi="Times New Roman" w:cs="Times New Roman"/>
          <w:sz w:val="24"/>
          <w:szCs w:val="24"/>
        </w:rPr>
        <w:t xml:space="preserve">Students viewed religious gatherings as environments where they could freely display their multi-cultural identities while avoiding cultural misunderstandings. </w:t>
      </w:r>
      <w:r w:rsidRPr="00AD2FA6">
        <w:rPr>
          <w:rFonts w:ascii="Times New Roman" w:hAnsi="Times New Roman" w:cs="Times New Roman"/>
          <w:sz w:val="24"/>
          <w:szCs w:val="24"/>
        </w:rPr>
        <w:t>Full inclusion faced challenges from institutional limitations which excluded students from using prayer facilities and restricted their ability to practice religious dietary needs.</w:t>
      </w:r>
    </w:p>
    <w:p w:rsidR="00AD2980" w:rsidRPr="00AD2FA6" w:rsidRDefault="00A62D22" w:rsidP="00AD2FA6">
      <w:pPr>
        <w:spacing w:before="100" w:beforeAutospacing="1" w:after="100" w:afterAutospacing="1" w:line="360" w:lineRule="auto"/>
        <w:jc w:val="both"/>
        <w:rPr>
          <w:rFonts w:ascii="Times New Roman" w:eastAsia="Times New Roman" w:hAnsi="Times New Roman" w:cs="Times New Roman"/>
          <w:b/>
          <w:bCs/>
          <w:sz w:val="24"/>
          <w:szCs w:val="24"/>
          <w:lang w:eastAsia="en-IN"/>
        </w:rPr>
      </w:pPr>
      <w:r w:rsidRPr="00AD2FA6">
        <w:rPr>
          <w:rFonts w:ascii="Times New Roman" w:eastAsia="Times New Roman" w:hAnsi="Times New Roman" w:cs="Times New Roman"/>
          <w:b/>
          <w:bCs/>
          <w:sz w:val="24"/>
          <w:szCs w:val="24"/>
          <w:lang w:eastAsia="en-IN"/>
        </w:rPr>
        <w:t>Identity Tension and Reconciliation</w:t>
      </w:r>
    </w:p>
    <w:p w:rsidR="000E6C18" w:rsidRPr="00AD2FA6" w:rsidRDefault="000E6C18" w:rsidP="00AD2FA6">
      <w:pPr>
        <w:spacing w:line="360" w:lineRule="auto"/>
        <w:jc w:val="both"/>
        <w:rPr>
          <w:rFonts w:ascii="Times New Roman" w:hAnsi="Times New Roman" w:cs="Times New Roman"/>
          <w:sz w:val="24"/>
          <w:szCs w:val="24"/>
        </w:rPr>
      </w:pPr>
      <w:r w:rsidRPr="00AD2FA6">
        <w:rPr>
          <w:rFonts w:ascii="Times New Roman" w:hAnsi="Times New Roman" w:cs="Times New Roman"/>
          <w:sz w:val="24"/>
          <w:szCs w:val="24"/>
        </w:rPr>
        <w:t>Many students struggled to reconcile their religious principles with liberal university philosophies of education prevalent at Western institutions. Different levels of disagreement included both unintentional minor provocations as well as institutional limitations. The religious students needed multiple internal discussions to determine how much they should adhere strictly to faith yet remain flexible enough to adapt (.Bunifuu Ali, 2018; George Sodowsky and Joanna Lai, 1997).</w:t>
      </w:r>
    </w:p>
    <w:p w:rsidR="00AD2980" w:rsidRPr="00AD2FA6" w:rsidRDefault="00A62D22" w:rsidP="00AD2FA6">
      <w:pPr>
        <w:spacing w:before="100" w:beforeAutospacing="1" w:after="100" w:afterAutospacing="1" w:line="360" w:lineRule="auto"/>
        <w:jc w:val="both"/>
        <w:rPr>
          <w:rFonts w:ascii="Times New Roman" w:eastAsia="Times New Roman" w:hAnsi="Times New Roman" w:cs="Times New Roman"/>
          <w:b/>
          <w:bCs/>
          <w:sz w:val="24"/>
          <w:szCs w:val="24"/>
          <w:lang w:eastAsia="en-IN"/>
        </w:rPr>
      </w:pPr>
      <w:r w:rsidRPr="00AD2FA6">
        <w:rPr>
          <w:rFonts w:ascii="Times New Roman" w:eastAsia="Times New Roman" w:hAnsi="Times New Roman" w:cs="Times New Roman"/>
          <w:b/>
          <w:bCs/>
          <w:sz w:val="24"/>
          <w:szCs w:val="24"/>
          <w:lang w:eastAsia="en-IN"/>
        </w:rPr>
        <w:t>Adaptation and Transformation</w:t>
      </w:r>
    </w:p>
    <w:p w:rsidR="000E6C18" w:rsidRPr="00AD2FA6" w:rsidRDefault="000E6C18" w:rsidP="00AD2FA6">
      <w:pPr>
        <w:spacing w:line="360" w:lineRule="auto"/>
        <w:jc w:val="both"/>
        <w:rPr>
          <w:rFonts w:ascii="Times New Roman" w:hAnsi="Times New Roman" w:cs="Times New Roman"/>
          <w:sz w:val="24"/>
          <w:szCs w:val="24"/>
        </w:rPr>
      </w:pPr>
      <w:r w:rsidRPr="00AD2FA6">
        <w:rPr>
          <w:rFonts w:ascii="Times New Roman" w:hAnsi="Times New Roman" w:cs="Times New Roman"/>
          <w:sz w:val="24"/>
          <w:szCs w:val="24"/>
        </w:rPr>
        <w:t>The relationship of numerous students toward their faith traditions experienced modifications through different phases of their academic journey. Religious pluralism exposure formed two different responses among individuals who deepened their faith through increased religious observance because they wanted to preserve their cultural heritage. Some students developed hybrid spiritual beliefs after encountering alternative belief systems which Barker (2020) describes as “spiritual hybridity.” The illustration shows how the attachment to religion has changed during this period.</w:t>
      </w:r>
    </w:p>
    <w:p w:rsidR="006C3FF2" w:rsidRPr="00AD2FA6" w:rsidRDefault="00A62D22" w:rsidP="00AD2FA6">
      <w:pPr>
        <w:spacing w:before="100" w:beforeAutospacing="1" w:after="100" w:afterAutospacing="1" w:line="360" w:lineRule="auto"/>
        <w:jc w:val="both"/>
        <w:rPr>
          <w:rFonts w:ascii="Times New Roman" w:eastAsia="Times New Roman" w:hAnsi="Times New Roman" w:cs="Times New Roman"/>
          <w:b/>
          <w:bCs/>
          <w:sz w:val="24"/>
          <w:szCs w:val="24"/>
          <w:lang w:eastAsia="en-IN"/>
        </w:rPr>
      </w:pPr>
      <w:r w:rsidRPr="00AD2FA6">
        <w:rPr>
          <w:rFonts w:ascii="Times New Roman" w:eastAsia="Times New Roman" w:hAnsi="Times New Roman" w:cs="Times New Roman"/>
          <w:b/>
          <w:bCs/>
          <w:sz w:val="24"/>
          <w:szCs w:val="24"/>
          <w:lang w:eastAsia="en-IN"/>
        </w:rPr>
        <w:t>Implications for Higher Education</w:t>
      </w:r>
    </w:p>
    <w:p w:rsidR="006C3FF2" w:rsidRPr="00AD2FA6" w:rsidRDefault="000E6C18" w:rsidP="00AD2FA6">
      <w:pPr>
        <w:spacing w:before="100" w:beforeAutospacing="1" w:after="100" w:afterAutospacing="1" w:line="360" w:lineRule="auto"/>
        <w:jc w:val="both"/>
        <w:rPr>
          <w:rFonts w:ascii="Times New Roman" w:hAnsi="Times New Roman" w:cs="Times New Roman"/>
          <w:sz w:val="24"/>
          <w:szCs w:val="24"/>
        </w:rPr>
      </w:pPr>
      <w:r w:rsidRPr="00AD2FA6">
        <w:rPr>
          <w:rFonts w:ascii="Times New Roman" w:hAnsi="Times New Roman" w:cs="Times New Roman"/>
          <w:color w:val="000000"/>
          <w:sz w:val="24"/>
          <w:szCs w:val="24"/>
          <w:shd w:val="clear" w:color="auto" w:fill="FFFFFF"/>
        </w:rPr>
        <w:t xml:space="preserve"> </w:t>
      </w:r>
      <w:r w:rsidR="006C3FF2" w:rsidRPr="00AD2FA6">
        <w:rPr>
          <w:rFonts w:ascii="Times New Roman" w:hAnsi="Times New Roman" w:cs="Times New Roman"/>
          <w:sz w:val="24"/>
          <w:szCs w:val="24"/>
        </w:rPr>
        <w:t xml:space="preserve">Research indicates multiple organizational modifications which will improve religious inclusivity: </w:t>
      </w:r>
    </w:p>
    <w:p w:rsidR="00A62D22" w:rsidRPr="00AD2FA6" w:rsidRDefault="00A62D22" w:rsidP="00AD2FA6">
      <w:pPr>
        <w:spacing w:line="360" w:lineRule="auto"/>
        <w:jc w:val="both"/>
        <w:rPr>
          <w:rFonts w:ascii="Times New Roman" w:hAnsi="Times New Roman" w:cs="Times New Roman"/>
          <w:sz w:val="24"/>
          <w:szCs w:val="24"/>
        </w:rPr>
      </w:pPr>
      <w:r w:rsidRPr="008D4018">
        <w:rPr>
          <w:rFonts w:ascii="Times New Roman" w:hAnsi="Times New Roman" w:cs="Times New Roman"/>
          <w:b/>
          <w:sz w:val="24"/>
          <w:szCs w:val="24"/>
        </w:rPr>
        <w:t>Infrastructure:</w:t>
      </w:r>
      <w:r w:rsidRPr="00AD2FA6">
        <w:rPr>
          <w:rFonts w:ascii="Times New Roman" w:hAnsi="Times New Roman" w:cs="Times New Roman"/>
          <w:sz w:val="24"/>
          <w:szCs w:val="24"/>
        </w:rPr>
        <w:t xml:space="preserve"> </w:t>
      </w:r>
      <w:r w:rsidR="006C3FF2" w:rsidRPr="00AD2FA6">
        <w:rPr>
          <w:rFonts w:ascii="Times New Roman" w:hAnsi="Times New Roman" w:cs="Times New Roman"/>
          <w:sz w:val="24"/>
          <w:szCs w:val="24"/>
        </w:rPr>
        <w:t>Higher education institutions should provide prayer facilities alongside multi-faith chaplaincies and religious accommodations for food and residential areas.</w:t>
      </w:r>
    </w:p>
    <w:p w:rsidR="006C3FF2" w:rsidRPr="00AD2FA6" w:rsidRDefault="00A62D22" w:rsidP="00AD2FA6">
      <w:pPr>
        <w:spacing w:line="360" w:lineRule="auto"/>
        <w:jc w:val="both"/>
        <w:rPr>
          <w:rFonts w:ascii="Times New Roman" w:hAnsi="Times New Roman" w:cs="Times New Roman"/>
          <w:sz w:val="24"/>
          <w:szCs w:val="24"/>
        </w:rPr>
      </w:pPr>
      <w:r w:rsidRPr="008D4018">
        <w:rPr>
          <w:rFonts w:ascii="Times New Roman" w:hAnsi="Times New Roman" w:cs="Times New Roman"/>
          <w:b/>
          <w:sz w:val="24"/>
          <w:szCs w:val="24"/>
        </w:rPr>
        <w:t xml:space="preserve">Pedagogy: </w:t>
      </w:r>
      <w:r w:rsidR="006C3FF2" w:rsidRPr="00AD2FA6">
        <w:rPr>
          <w:rFonts w:ascii="Times New Roman" w:hAnsi="Times New Roman" w:cs="Times New Roman"/>
          <w:sz w:val="24"/>
          <w:szCs w:val="24"/>
        </w:rPr>
        <w:t>The teaching methods should incorporate religious diversity along with global belief systems throughout educational courses from every discipline.</w:t>
      </w:r>
    </w:p>
    <w:p w:rsidR="006C3FF2" w:rsidRPr="00AD2FA6" w:rsidRDefault="00A62D22" w:rsidP="00AD2FA6">
      <w:pPr>
        <w:spacing w:line="360" w:lineRule="auto"/>
        <w:jc w:val="both"/>
        <w:rPr>
          <w:rFonts w:ascii="Times New Roman" w:hAnsi="Times New Roman" w:cs="Times New Roman"/>
          <w:sz w:val="24"/>
          <w:szCs w:val="24"/>
        </w:rPr>
      </w:pPr>
      <w:r w:rsidRPr="008D4018">
        <w:rPr>
          <w:rFonts w:ascii="Times New Roman" w:hAnsi="Times New Roman" w:cs="Times New Roman"/>
          <w:b/>
          <w:sz w:val="24"/>
          <w:szCs w:val="24"/>
        </w:rPr>
        <w:t>Training:</w:t>
      </w:r>
      <w:r w:rsidRPr="00AD2FA6">
        <w:rPr>
          <w:rFonts w:ascii="Times New Roman" w:hAnsi="Times New Roman" w:cs="Times New Roman"/>
          <w:sz w:val="24"/>
          <w:szCs w:val="24"/>
        </w:rPr>
        <w:t xml:space="preserve"> </w:t>
      </w:r>
      <w:r w:rsidR="006C3FF2" w:rsidRPr="00AD2FA6">
        <w:rPr>
          <w:rFonts w:ascii="Times New Roman" w:hAnsi="Times New Roman" w:cs="Times New Roman"/>
          <w:sz w:val="24"/>
          <w:szCs w:val="24"/>
        </w:rPr>
        <w:t>Develop faculty and staff competencies in religious literacy, cultural humility, and inclusive practices.</w:t>
      </w:r>
    </w:p>
    <w:p w:rsidR="006C3FF2" w:rsidRPr="00AD2FA6" w:rsidRDefault="00A62D22" w:rsidP="00AD2FA6">
      <w:pPr>
        <w:spacing w:line="360" w:lineRule="auto"/>
        <w:jc w:val="both"/>
        <w:rPr>
          <w:rFonts w:ascii="Times New Roman" w:hAnsi="Times New Roman" w:cs="Times New Roman"/>
          <w:sz w:val="24"/>
          <w:szCs w:val="24"/>
        </w:rPr>
      </w:pPr>
      <w:r w:rsidRPr="008D4018">
        <w:rPr>
          <w:rFonts w:ascii="Times New Roman" w:hAnsi="Times New Roman" w:cs="Times New Roman"/>
          <w:b/>
          <w:sz w:val="24"/>
          <w:szCs w:val="24"/>
        </w:rPr>
        <w:lastRenderedPageBreak/>
        <w:t>Dialogue:</w:t>
      </w:r>
      <w:r w:rsidRPr="00AD2FA6">
        <w:rPr>
          <w:rFonts w:ascii="Times New Roman" w:hAnsi="Times New Roman" w:cs="Times New Roman"/>
          <w:sz w:val="24"/>
          <w:szCs w:val="24"/>
        </w:rPr>
        <w:t xml:space="preserve"> </w:t>
      </w:r>
      <w:r w:rsidR="006C3FF2" w:rsidRPr="00AD2FA6">
        <w:rPr>
          <w:rFonts w:ascii="Times New Roman" w:hAnsi="Times New Roman" w:cs="Times New Roman"/>
          <w:sz w:val="24"/>
          <w:szCs w:val="24"/>
        </w:rPr>
        <w:t>The institution should organize dialogue programs which combine interfaith activities that help people understand each other better and decrease prejudice and enhance community unity.</w:t>
      </w:r>
    </w:p>
    <w:p w:rsidR="006C3FF2" w:rsidRPr="00AD2FA6" w:rsidRDefault="006C3FF2" w:rsidP="00AD2FA6">
      <w:pPr>
        <w:spacing w:line="360" w:lineRule="auto"/>
        <w:jc w:val="both"/>
        <w:rPr>
          <w:rFonts w:ascii="Times New Roman" w:hAnsi="Times New Roman" w:cs="Times New Roman"/>
          <w:sz w:val="24"/>
          <w:szCs w:val="24"/>
        </w:rPr>
      </w:pPr>
      <w:r w:rsidRPr="00AD2FA6">
        <w:rPr>
          <w:rFonts w:ascii="Times New Roman" w:hAnsi="Times New Roman" w:cs="Times New Roman"/>
          <w:sz w:val="24"/>
          <w:szCs w:val="24"/>
        </w:rPr>
        <w:t xml:space="preserve">These accommodations serve two functions by promoting student wellness and developing an </w:t>
      </w:r>
      <w:r w:rsidR="008D4018" w:rsidRPr="00AD2FA6">
        <w:rPr>
          <w:rFonts w:ascii="Times New Roman" w:hAnsi="Times New Roman" w:cs="Times New Roman"/>
          <w:sz w:val="24"/>
          <w:szCs w:val="24"/>
        </w:rPr>
        <w:t>ethnically</w:t>
      </w:r>
      <w:r w:rsidR="008D4018">
        <w:rPr>
          <w:rFonts w:ascii="Times New Roman" w:hAnsi="Times New Roman" w:cs="Times New Roman"/>
          <w:sz w:val="24"/>
          <w:szCs w:val="24"/>
        </w:rPr>
        <w:t xml:space="preserve"> </w:t>
      </w:r>
      <w:r w:rsidRPr="00AD2FA6">
        <w:rPr>
          <w:rFonts w:ascii="Times New Roman" w:hAnsi="Times New Roman" w:cs="Times New Roman"/>
          <w:sz w:val="24"/>
          <w:szCs w:val="24"/>
        </w:rPr>
        <w:t>diverse learning environment incorporating holistic student identity understanding across the student body.</w:t>
      </w:r>
    </w:p>
    <w:p w:rsidR="00A62D22" w:rsidRPr="00AD2FA6" w:rsidRDefault="00A62D22" w:rsidP="00AD2FA6">
      <w:pPr>
        <w:spacing w:before="100" w:beforeAutospacing="1" w:after="100" w:afterAutospacing="1" w:line="360" w:lineRule="auto"/>
        <w:jc w:val="both"/>
        <w:rPr>
          <w:rFonts w:ascii="Times New Roman" w:eastAsia="Times New Roman" w:hAnsi="Times New Roman" w:cs="Times New Roman"/>
          <w:sz w:val="24"/>
          <w:szCs w:val="24"/>
          <w:lang w:eastAsia="en-IN"/>
        </w:rPr>
      </w:pPr>
      <w:r w:rsidRPr="00AD2FA6">
        <w:rPr>
          <w:rFonts w:ascii="Times New Roman" w:eastAsia="Times New Roman" w:hAnsi="Times New Roman" w:cs="Times New Roman"/>
          <w:b/>
          <w:bCs/>
          <w:sz w:val="24"/>
          <w:szCs w:val="24"/>
          <w:lang w:eastAsia="en-IN"/>
        </w:rPr>
        <w:t>Conclusion</w:t>
      </w:r>
    </w:p>
    <w:p w:rsidR="000E6C18" w:rsidRPr="00AD2FA6" w:rsidRDefault="000E6C18" w:rsidP="00AD2FA6">
      <w:pPr>
        <w:spacing w:line="360" w:lineRule="auto"/>
        <w:jc w:val="both"/>
        <w:rPr>
          <w:rFonts w:ascii="Times New Roman" w:hAnsi="Times New Roman" w:cs="Times New Roman"/>
          <w:sz w:val="24"/>
          <w:szCs w:val="24"/>
        </w:rPr>
      </w:pPr>
      <w:r w:rsidRPr="00AD2FA6">
        <w:rPr>
          <w:rFonts w:ascii="Times New Roman" w:hAnsi="Times New Roman" w:cs="Times New Roman"/>
          <w:sz w:val="24"/>
          <w:szCs w:val="24"/>
        </w:rPr>
        <w:t>International student acculturation requires analysis of religious identity which many institutions inappropriately disregard to their students' detriment. Students rely on their faith as a guiding framework which allows them to make sense of learning while simultaneously resisting and adopting transformations within the culture. The research shows that students perform theocratic identity negotiation through a persistent and social process which displays endurance in addition to generating stress and structural changes. Higher education institutions should support this process because it helps global engagement and student flourishing alongside epistemic justice.</w:t>
      </w:r>
    </w:p>
    <w:p w:rsidR="00A62D22" w:rsidRPr="00AD2FA6" w:rsidRDefault="00A62D22" w:rsidP="00AD2FA6">
      <w:pPr>
        <w:spacing w:before="100" w:beforeAutospacing="1" w:after="100" w:afterAutospacing="1" w:line="360" w:lineRule="auto"/>
        <w:jc w:val="both"/>
        <w:rPr>
          <w:rFonts w:ascii="Times New Roman" w:eastAsia="Times New Roman" w:hAnsi="Times New Roman" w:cs="Times New Roman"/>
          <w:sz w:val="24"/>
          <w:szCs w:val="24"/>
          <w:lang w:eastAsia="en-IN"/>
        </w:rPr>
      </w:pPr>
      <w:r w:rsidRPr="00AD2FA6">
        <w:rPr>
          <w:rFonts w:ascii="Times New Roman" w:eastAsia="Times New Roman" w:hAnsi="Times New Roman" w:cs="Times New Roman"/>
          <w:b/>
          <w:bCs/>
          <w:sz w:val="24"/>
          <w:szCs w:val="24"/>
          <w:lang w:eastAsia="en-IN"/>
        </w:rPr>
        <w:t>References</w:t>
      </w:r>
    </w:p>
    <w:p w:rsidR="00A62D22" w:rsidRPr="00AD2FA6" w:rsidRDefault="00A62D22" w:rsidP="00AD2FA6">
      <w:pPr>
        <w:spacing w:before="100" w:beforeAutospacing="1" w:after="100" w:afterAutospacing="1" w:line="360" w:lineRule="auto"/>
        <w:jc w:val="both"/>
        <w:rPr>
          <w:rFonts w:ascii="Times New Roman" w:eastAsia="Times New Roman" w:hAnsi="Times New Roman" w:cs="Times New Roman"/>
          <w:sz w:val="24"/>
          <w:szCs w:val="24"/>
          <w:lang w:eastAsia="en-IN"/>
        </w:rPr>
      </w:pPr>
      <w:r w:rsidRPr="00AD2FA6">
        <w:rPr>
          <w:rFonts w:ascii="Times New Roman" w:eastAsia="Times New Roman" w:hAnsi="Times New Roman" w:cs="Times New Roman"/>
          <w:sz w:val="24"/>
          <w:szCs w:val="24"/>
          <w:lang w:eastAsia="en-IN"/>
        </w:rPr>
        <w:t xml:space="preserve">Ali, S. (2018). Muslim students in secular universities: Identity negotiation and cultural tension. </w:t>
      </w:r>
      <w:r w:rsidRPr="00AD2FA6">
        <w:rPr>
          <w:rFonts w:ascii="Times New Roman" w:eastAsia="Times New Roman" w:hAnsi="Times New Roman" w:cs="Times New Roman"/>
          <w:i/>
          <w:iCs/>
          <w:sz w:val="24"/>
          <w:szCs w:val="24"/>
          <w:lang w:eastAsia="en-IN"/>
        </w:rPr>
        <w:t>Journal of International Student Affairs</w:t>
      </w:r>
      <w:r w:rsidRPr="00AD2FA6">
        <w:rPr>
          <w:rFonts w:ascii="Times New Roman" w:eastAsia="Times New Roman" w:hAnsi="Times New Roman" w:cs="Times New Roman"/>
          <w:sz w:val="24"/>
          <w:szCs w:val="24"/>
          <w:lang w:eastAsia="en-IN"/>
        </w:rPr>
        <w:t>, 3(1), 45–60.</w:t>
      </w:r>
    </w:p>
    <w:p w:rsidR="00A62D22" w:rsidRPr="00AD2FA6" w:rsidRDefault="00A62D22" w:rsidP="00AD2FA6">
      <w:pPr>
        <w:spacing w:before="100" w:beforeAutospacing="1" w:after="100" w:afterAutospacing="1" w:line="360" w:lineRule="auto"/>
        <w:jc w:val="both"/>
        <w:rPr>
          <w:rFonts w:ascii="Times New Roman" w:eastAsia="Times New Roman" w:hAnsi="Times New Roman" w:cs="Times New Roman"/>
          <w:sz w:val="24"/>
          <w:szCs w:val="24"/>
          <w:lang w:eastAsia="en-IN"/>
        </w:rPr>
      </w:pPr>
      <w:r w:rsidRPr="00AD2FA6">
        <w:rPr>
          <w:rFonts w:ascii="Times New Roman" w:eastAsia="Times New Roman" w:hAnsi="Times New Roman" w:cs="Times New Roman"/>
          <w:sz w:val="24"/>
          <w:szCs w:val="24"/>
          <w:lang w:eastAsia="en-IN"/>
        </w:rPr>
        <w:t xml:space="preserve">Ano, G. G., &amp; Vasconcelles, E. B. (2005). Religious coping and psychological adjustment to stress: A meta-analysis. </w:t>
      </w:r>
      <w:r w:rsidRPr="00AD2FA6">
        <w:rPr>
          <w:rFonts w:ascii="Times New Roman" w:eastAsia="Times New Roman" w:hAnsi="Times New Roman" w:cs="Times New Roman"/>
          <w:i/>
          <w:iCs/>
          <w:sz w:val="24"/>
          <w:szCs w:val="24"/>
          <w:lang w:eastAsia="en-IN"/>
        </w:rPr>
        <w:t>Journal of Clinical Psychology</w:t>
      </w:r>
      <w:r w:rsidRPr="00AD2FA6">
        <w:rPr>
          <w:rFonts w:ascii="Times New Roman" w:eastAsia="Times New Roman" w:hAnsi="Times New Roman" w:cs="Times New Roman"/>
          <w:sz w:val="24"/>
          <w:szCs w:val="24"/>
          <w:lang w:eastAsia="en-IN"/>
        </w:rPr>
        <w:t>, 61(4), 461–480.</w:t>
      </w:r>
    </w:p>
    <w:p w:rsidR="00A62D22" w:rsidRPr="00AD2FA6" w:rsidRDefault="00A62D22" w:rsidP="00AD2FA6">
      <w:pPr>
        <w:spacing w:before="100" w:beforeAutospacing="1" w:after="100" w:afterAutospacing="1" w:line="360" w:lineRule="auto"/>
        <w:jc w:val="both"/>
        <w:rPr>
          <w:rFonts w:ascii="Times New Roman" w:eastAsia="Times New Roman" w:hAnsi="Times New Roman" w:cs="Times New Roman"/>
          <w:sz w:val="24"/>
          <w:szCs w:val="24"/>
          <w:lang w:eastAsia="en-IN"/>
        </w:rPr>
      </w:pPr>
      <w:r w:rsidRPr="00AD2FA6">
        <w:rPr>
          <w:rFonts w:ascii="Times New Roman" w:eastAsia="Times New Roman" w:hAnsi="Times New Roman" w:cs="Times New Roman"/>
          <w:sz w:val="24"/>
          <w:szCs w:val="24"/>
          <w:lang w:eastAsia="en-IN"/>
        </w:rPr>
        <w:t xml:space="preserve">Barker, C. (2020). Spiritual hybridity: Religious identity and cultural adaptation among international students. </w:t>
      </w:r>
      <w:r w:rsidRPr="00AD2FA6">
        <w:rPr>
          <w:rFonts w:ascii="Times New Roman" w:eastAsia="Times New Roman" w:hAnsi="Times New Roman" w:cs="Times New Roman"/>
          <w:i/>
          <w:iCs/>
          <w:sz w:val="24"/>
          <w:szCs w:val="24"/>
          <w:lang w:eastAsia="en-IN"/>
        </w:rPr>
        <w:t>Global Education Review</w:t>
      </w:r>
      <w:r w:rsidRPr="00AD2FA6">
        <w:rPr>
          <w:rFonts w:ascii="Times New Roman" w:eastAsia="Times New Roman" w:hAnsi="Times New Roman" w:cs="Times New Roman"/>
          <w:sz w:val="24"/>
          <w:szCs w:val="24"/>
          <w:lang w:eastAsia="en-IN"/>
        </w:rPr>
        <w:t>, 7(2), 85–100.</w:t>
      </w:r>
    </w:p>
    <w:p w:rsidR="00A62D22" w:rsidRPr="00AD2FA6" w:rsidRDefault="00A62D22" w:rsidP="00AD2FA6">
      <w:pPr>
        <w:spacing w:before="100" w:beforeAutospacing="1" w:after="100" w:afterAutospacing="1" w:line="360" w:lineRule="auto"/>
        <w:jc w:val="both"/>
        <w:rPr>
          <w:rFonts w:ascii="Times New Roman" w:eastAsia="Times New Roman" w:hAnsi="Times New Roman" w:cs="Times New Roman"/>
          <w:sz w:val="24"/>
          <w:szCs w:val="24"/>
          <w:lang w:eastAsia="en-IN"/>
        </w:rPr>
      </w:pPr>
      <w:r w:rsidRPr="00AD2FA6">
        <w:rPr>
          <w:rFonts w:ascii="Times New Roman" w:eastAsia="Times New Roman" w:hAnsi="Times New Roman" w:cs="Times New Roman"/>
          <w:sz w:val="24"/>
          <w:szCs w:val="24"/>
          <w:lang w:eastAsia="en-IN"/>
        </w:rPr>
        <w:t xml:space="preserve">Berry, J. W. (1997). Immigration, acculturation, and adaptation. </w:t>
      </w:r>
      <w:r w:rsidRPr="00AD2FA6">
        <w:rPr>
          <w:rFonts w:ascii="Times New Roman" w:eastAsia="Times New Roman" w:hAnsi="Times New Roman" w:cs="Times New Roman"/>
          <w:i/>
          <w:iCs/>
          <w:sz w:val="24"/>
          <w:szCs w:val="24"/>
          <w:lang w:eastAsia="en-IN"/>
        </w:rPr>
        <w:t>Applied Psychology: An International Review</w:t>
      </w:r>
      <w:r w:rsidRPr="00AD2FA6">
        <w:rPr>
          <w:rFonts w:ascii="Times New Roman" w:eastAsia="Times New Roman" w:hAnsi="Times New Roman" w:cs="Times New Roman"/>
          <w:sz w:val="24"/>
          <w:szCs w:val="24"/>
          <w:lang w:eastAsia="en-IN"/>
        </w:rPr>
        <w:t>, 46(1), 5–34.</w:t>
      </w:r>
    </w:p>
    <w:p w:rsidR="00A62D22" w:rsidRPr="00AD2FA6" w:rsidRDefault="00A62D22" w:rsidP="00AD2FA6">
      <w:pPr>
        <w:spacing w:before="100" w:beforeAutospacing="1" w:after="100" w:afterAutospacing="1" w:line="360" w:lineRule="auto"/>
        <w:jc w:val="both"/>
        <w:rPr>
          <w:rFonts w:ascii="Times New Roman" w:eastAsia="Times New Roman" w:hAnsi="Times New Roman" w:cs="Times New Roman"/>
          <w:sz w:val="24"/>
          <w:szCs w:val="24"/>
          <w:lang w:eastAsia="en-IN"/>
        </w:rPr>
      </w:pPr>
      <w:r w:rsidRPr="00AD2FA6">
        <w:rPr>
          <w:rFonts w:ascii="Times New Roman" w:eastAsia="Times New Roman" w:hAnsi="Times New Roman" w:cs="Times New Roman"/>
          <w:sz w:val="24"/>
          <w:szCs w:val="24"/>
          <w:lang w:eastAsia="en-IN"/>
        </w:rPr>
        <w:t xml:space="preserve">Cadge, W., &amp; Ecklund, E. H. (2007). Immigration and religion. </w:t>
      </w:r>
      <w:r w:rsidRPr="00AD2FA6">
        <w:rPr>
          <w:rFonts w:ascii="Times New Roman" w:eastAsia="Times New Roman" w:hAnsi="Times New Roman" w:cs="Times New Roman"/>
          <w:i/>
          <w:iCs/>
          <w:sz w:val="24"/>
          <w:szCs w:val="24"/>
          <w:lang w:eastAsia="en-IN"/>
        </w:rPr>
        <w:t>Annual Review of Sociology</w:t>
      </w:r>
      <w:r w:rsidRPr="00AD2FA6">
        <w:rPr>
          <w:rFonts w:ascii="Times New Roman" w:eastAsia="Times New Roman" w:hAnsi="Times New Roman" w:cs="Times New Roman"/>
          <w:sz w:val="24"/>
          <w:szCs w:val="24"/>
          <w:lang w:eastAsia="en-IN"/>
        </w:rPr>
        <w:t>, 33, 359–379.</w:t>
      </w:r>
    </w:p>
    <w:p w:rsidR="00A62D22" w:rsidRPr="00AD2FA6" w:rsidRDefault="00A62D22" w:rsidP="00AD2FA6">
      <w:pPr>
        <w:spacing w:before="100" w:beforeAutospacing="1" w:after="100" w:afterAutospacing="1" w:line="360" w:lineRule="auto"/>
        <w:jc w:val="both"/>
        <w:rPr>
          <w:rFonts w:ascii="Times New Roman" w:eastAsia="Times New Roman" w:hAnsi="Times New Roman" w:cs="Times New Roman"/>
          <w:sz w:val="24"/>
          <w:szCs w:val="24"/>
          <w:lang w:eastAsia="en-IN"/>
        </w:rPr>
      </w:pPr>
      <w:r w:rsidRPr="00AD2FA6">
        <w:rPr>
          <w:rFonts w:ascii="Times New Roman" w:eastAsia="Times New Roman" w:hAnsi="Times New Roman" w:cs="Times New Roman"/>
          <w:sz w:val="24"/>
          <w:szCs w:val="24"/>
          <w:lang w:eastAsia="en-IN"/>
        </w:rPr>
        <w:lastRenderedPageBreak/>
        <w:t xml:space="preserve">Constantine, M. G., Okazaki, S., &amp; Utsey, S. O. (2004). Self-concealment, social self-efficacy, acculturative stress, and depression in African, Asian, and Latin American international college students. </w:t>
      </w:r>
      <w:r w:rsidRPr="00AD2FA6">
        <w:rPr>
          <w:rFonts w:ascii="Times New Roman" w:eastAsia="Times New Roman" w:hAnsi="Times New Roman" w:cs="Times New Roman"/>
          <w:i/>
          <w:iCs/>
          <w:sz w:val="24"/>
          <w:szCs w:val="24"/>
          <w:lang w:eastAsia="en-IN"/>
        </w:rPr>
        <w:t>American Journal of Orthopsychiatry</w:t>
      </w:r>
      <w:r w:rsidRPr="00AD2FA6">
        <w:rPr>
          <w:rFonts w:ascii="Times New Roman" w:eastAsia="Times New Roman" w:hAnsi="Times New Roman" w:cs="Times New Roman"/>
          <w:sz w:val="24"/>
          <w:szCs w:val="24"/>
          <w:lang w:eastAsia="en-IN"/>
        </w:rPr>
        <w:t>, 74(3), 230–241.</w:t>
      </w:r>
    </w:p>
    <w:p w:rsidR="00A62D22" w:rsidRPr="00AD2FA6" w:rsidRDefault="00A62D22" w:rsidP="00AD2FA6">
      <w:pPr>
        <w:spacing w:before="100" w:beforeAutospacing="1" w:after="100" w:afterAutospacing="1" w:line="360" w:lineRule="auto"/>
        <w:jc w:val="both"/>
        <w:rPr>
          <w:rFonts w:ascii="Times New Roman" w:eastAsia="Times New Roman" w:hAnsi="Times New Roman" w:cs="Times New Roman"/>
          <w:sz w:val="24"/>
          <w:szCs w:val="24"/>
          <w:lang w:eastAsia="en-IN"/>
        </w:rPr>
      </w:pPr>
      <w:r w:rsidRPr="00AD2FA6">
        <w:rPr>
          <w:rFonts w:ascii="Times New Roman" w:eastAsia="Times New Roman" w:hAnsi="Times New Roman" w:cs="Times New Roman"/>
          <w:sz w:val="24"/>
          <w:szCs w:val="24"/>
          <w:lang w:eastAsia="en-IN"/>
        </w:rPr>
        <w:t xml:space="preserve">Khawaja, N. G., &amp; Stallman, H. M. (2011). Understanding the coping strategies of international students: A qualitative approach. </w:t>
      </w:r>
      <w:r w:rsidRPr="00AD2FA6">
        <w:rPr>
          <w:rFonts w:ascii="Times New Roman" w:eastAsia="Times New Roman" w:hAnsi="Times New Roman" w:cs="Times New Roman"/>
          <w:i/>
          <w:iCs/>
          <w:sz w:val="24"/>
          <w:szCs w:val="24"/>
          <w:lang w:eastAsia="en-IN"/>
        </w:rPr>
        <w:t>Australian Journal of Guidance and Counselling</w:t>
      </w:r>
      <w:r w:rsidRPr="00AD2FA6">
        <w:rPr>
          <w:rFonts w:ascii="Times New Roman" w:eastAsia="Times New Roman" w:hAnsi="Times New Roman" w:cs="Times New Roman"/>
          <w:sz w:val="24"/>
          <w:szCs w:val="24"/>
          <w:lang w:eastAsia="en-IN"/>
        </w:rPr>
        <w:t>, 21(2), 201–224.</w:t>
      </w:r>
    </w:p>
    <w:p w:rsidR="00A62D22" w:rsidRPr="00AD2FA6" w:rsidRDefault="00A62D22" w:rsidP="00AD2FA6">
      <w:pPr>
        <w:spacing w:before="100" w:beforeAutospacing="1" w:after="100" w:afterAutospacing="1" w:line="360" w:lineRule="auto"/>
        <w:jc w:val="both"/>
        <w:rPr>
          <w:rFonts w:ascii="Times New Roman" w:eastAsia="Times New Roman" w:hAnsi="Times New Roman" w:cs="Times New Roman"/>
          <w:sz w:val="24"/>
          <w:szCs w:val="24"/>
          <w:lang w:eastAsia="en-IN"/>
        </w:rPr>
      </w:pPr>
      <w:r w:rsidRPr="00AD2FA6">
        <w:rPr>
          <w:rFonts w:ascii="Times New Roman" w:eastAsia="Times New Roman" w:hAnsi="Times New Roman" w:cs="Times New Roman"/>
          <w:sz w:val="24"/>
          <w:szCs w:val="24"/>
          <w:lang w:eastAsia="en-IN"/>
        </w:rPr>
        <w:t xml:space="preserve">Leong, P. (2015). Coming to America: The social and psychological adjustment of Asian students. </w:t>
      </w:r>
      <w:r w:rsidRPr="00AD2FA6">
        <w:rPr>
          <w:rFonts w:ascii="Times New Roman" w:eastAsia="Times New Roman" w:hAnsi="Times New Roman" w:cs="Times New Roman"/>
          <w:i/>
          <w:iCs/>
          <w:sz w:val="24"/>
          <w:szCs w:val="24"/>
          <w:lang w:eastAsia="en-IN"/>
        </w:rPr>
        <w:t>Journal of College Student Development</w:t>
      </w:r>
      <w:r w:rsidRPr="00AD2FA6">
        <w:rPr>
          <w:rFonts w:ascii="Times New Roman" w:eastAsia="Times New Roman" w:hAnsi="Times New Roman" w:cs="Times New Roman"/>
          <w:sz w:val="24"/>
          <w:szCs w:val="24"/>
          <w:lang w:eastAsia="en-IN"/>
        </w:rPr>
        <w:t>, 56(6), 609–617.</w:t>
      </w:r>
    </w:p>
    <w:p w:rsidR="00A62D22" w:rsidRPr="00AD2FA6" w:rsidRDefault="00A62D22" w:rsidP="00AD2FA6">
      <w:pPr>
        <w:spacing w:before="100" w:beforeAutospacing="1" w:after="100" w:afterAutospacing="1" w:line="360" w:lineRule="auto"/>
        <w:jc w:val="both"/>
        <w:rPr>
          <w:rFonts w:ascii="Times New Roman" w:eastAsia="Times New Roman" w:hAnsi="Times New Roman" w:cs="Times New Roman"/>
          <w:sz w:val="24"/>
          <w:szCs w:val="24"/>
          <w:lang w:eastAsia="en-IN"/>
        </w:rPr>
      </w:pPr>
      <w:r w:rsidRPr="00AD2FA6">
        <w:rPr>
          <w:rFonts w:ascii="Times New Roman" w:eastAsia="Times New Roman" w:hAnsi="Times New Roman" w:cs="Times New Roman"/>
          <w:sz w:val="24"/>
          <w:szCs w:val="24"/>
          <w:lang w:eastAsia="en-IN"/>
        </w:rPr>
        <w:t xml:space="preserve">Pargament, K. I. (1997). </w:t>
      </w:r>
      <w:r w:rsidRPr="00AD2FA6">
        <w:rPr>
          <w:rFonts w:ascii="Times New Roman" w:eastAsia="Times New Roman" w:hAnsi="Times New Roman" w:cs="Times New Roman"/>
          <w:i/>
          <w:iCs/>
          <w:sz w:val="24"/>
          <w:szCs w:val="24"/>
          <w:lang w:eastAsia="en-IN"/>
        </w:rPr>
        <w:t>The psychology of religion and coping: Theory, research, practice</w:t>
      </w:r>
      <w:r w:rsidRPr="00AD2FA6">
        <w:rPr>
          <w:rFonts w:ascii="Times New Roman" w:eastAsia="Times New Roman" w:hAnsi="Times New Roman" w:cs="Times New Roman"/>
          <w:sz w:val="24"/>
          <w:szCs w:val="24"/>
          <w:lang w:eastAsia="en-IN"/>
        </w:rPr>
        <w:t>. Guilford Press.</w:t>
      </w:r>
    </w:p>
    <w:p w:rsidR="00A62D22" w:rsidRPr="00AD2FA6" w:rsidRDefault="00A62D22" w:rsidP="00AD2FA6">
      <w:pPr>
        <w:spacing w:before="100" w:beforeAutospacing="1" w:after="100" w:afterAutospacing="1" w:line="360" w:lineRule="auto"/>
        <w:jc w:val="both"/>
        <w:rPr>
          <w:rFonts w:ascii="Times New Roman" w:eastAsia="Times New Roman" w:hAnsi="Times New Roman" w:cs="Times New Roman"/>
          <w:sz w:val="24"/>
          <w:szCs w:val="24"/>
          <w:lang w:eastAsia="en-IN"/>
        </w:rPr>
      </w:pPr>
      <w:r w:rsidRPr="00AD2FA6">
        <w:rPr>
          <w:rFonts w:ascii="Times New Roman" w:eastAsia="Times New Roman" w:hAnsi="Times New Roman" w:cs="Times New Roman"/>
          <w:sz w:val="24"/>
          <w:szCs w:val="24"/>
          <w:lang w:eastAsia="en-IN"/>
        </w:rPr>
        <w:t xml:space="preserve">Peek, L. (2005). Becoming Muslim: The development of a religious identity. </w:t>
      </w:r>
      <w:r w:rsidRPr="00AD2FA6">
        <w:rPr>
          <w:rFonts w:ascii="Times New Roman" w:eastAsia="Times New Roman" w:hAnsi="Times New Roman" w:cs="Times New Roman"/>
          <w:i/>
          <w:iCs/>
          <w:sz w:val="24"/>
          <w:szCs w:val="24"/>
          <w:lang w:eastAsia="en-IN"/>
        </w:rPr>
        <w:t>Sociology of Religion</w:t>
      </w:r>
      <w:r w:rsidRPr="00AD2FA6">
        <w:rPr>
          <w:rFonts w:ascii="Times New Roman" w:eastAsia="Times New Roman" w:hAnsi="Times New Roman" w:cs="Times New Roman"/>
          <w:sz w:val="24"/>
          <w:szCs w:val="24"/>
          <w:lang w:eastAsia="en-IN"/>
        </w:rPr>
        <w:t>, 66(3), 215–242.</w:t>
      </w:r>
    </w:p>
    <w:p w:rsidR="00A62D22" w:rsidRPr="00AD2FA6" w:rsidRDefault="00A62D22" w:rsidP="00AD2FA6">
      <w:pPr>
        <w:spacing w:before="100" w:beforeAutospacing="1" w:after="100" w:afterAutospacing="1" w:line="360" w:lineRule="auto"/>
        <w:jc w:val="both"/>
        <w:rPr>
          <w:rFonts w:ascii="Times New Roman" w:eastAsia="Times New Roman" w:hAnsi="Times New Roman" w:cs="Times New Roman"/>
          <w:sz w:val="24"/>
          <w:szCs w:val="24"/>
          <w:lang w:eastAsia="en-IN"/>
        </w:rPr>
      </w:pPr>
      <w:r w:rsidRPr="00AD2FA6">
        <w:rPr>
          <w:rFonts w:ascii="Times New Roman" w:eastAsia="Times New Roman" w:hAnsi="Times New Roman" w:cs="Times New Roman"/>
          <w:sz w:val="24"/>
          <w:szCs w:val="24"/>
          <w:lang w:eastAsia="en-IN"/>
        </w:rPr>
        <w:t xml:space="preserve">Smith, C., &amp; Denton, M. L. (2005). </w:t>
      </w:r>
      <w:r w:rsidRPr="00AD2FA6">
        <w:rPr>
          <w:rFonts w:ascii="Times New Roman" w:eastAsia="Times New Roman" w:hAnsi="Times New Roman" w:cs="Times New Roman"/>
          <w:i/>
          <w:iCs/>
          <w:sz w:val="24"/>
          <w:szCs w:val="24"/>
          <w:lang w:eastAsia="en-IN"/>
        </w:rPr>
        <w:t>Soul searching: The religious and spiritual lives of American teenagers</w:t>
      </w:r>
      <w:r w:rsidRPr="00AD2FA6">
        <w:rPr>
          <w:rFonts w:ascii="Times New Roman" w:eastAsia="Times New Roman" w:hAnsi="Times New Roman" w:cs="Times New Roman"/>
          <w:sz w:val="24"/>
          <w:szCs w:val="24"/>
          <w:lang w:eastAsia="en-IN"/>
        </w:rPr>
        <w:t>. Oxford University Press.</w:t>
      </w:r>
    </w:p>
    <w:p w:rsidR="00A62D22" w:rsidRPr="00AD2FA6" w:rsidRDefault="00A62D22" w:rsidP="00AD2FA6">
      <w:pPr>
        <w:spacing w:before="100" w:beforeAutospacing="1" w:after="100" w:afterAutospacing="1" w:line="360" w:lineRule="auto"/>
        <w:jc w:val="both"/>
        <w:rPr>
          <w:rFonts w:ascii="Times New Roman" w:eastAsia="Times New Roman" w:hAnsi="Times New Roman" w:cs="Times New Roman"/>
          <w:sz w:val="24"/>
          <w:szCs w:val="24"/>
          <w:lang w:eastAsia="en-IN"/>
        </w:rPr>
      </w:pPr>
      <w:r w:rsidRPr="00AD2FA6">
        <w:rPr>
          <w:rFonts w:ascii="Times New Roman" w:eastAsia="Times New Roman" w:hAnsi="Times New Roman" w:cs="Times New Roman"/>
          <w:sz w:val="24"/>
          <w:szCs w:val="24"/>
          <w:lang w:eastAsia="en-IN"/>
        </w:rPr>
        <w:t xml:space="preserve">Sodowsky, G. R., &amp; Lai, E. W. (1997). Asian immigrant variables and structural models of cross-cultural distress. </w:t>
      </w:r>
      <w:r w:rsidRPr="00AD2FA6">
        <w:rPr>
          <w:rFonts w:ascii="Times New Roman" w:eastAsia="Times New Roman" w:hAnsi="Times New Roman" w:cs="Times New Roman"/>
          <w:i/>
          <w:iCs/>
          <w:sz w:val="24"/>
          <w:szCs w:val="24"/>
          <w:lang w:eastAsia="en-IN"/>
        </w:rPr>
        <w:t>Journal of Multicultural Counseling and Development</w:t>
      </w:r>
      <w:r w:rsidRPr="00AD2FA6">
        <w:rPr>
          <w:rFonts w:ascii="Times New Roman" w:eastAsia="Times New Roman" w:hAnsi="Times New Roman" w:cs="Times New Roman"/>
          <w:sz w:val="24"/>
          <w:szCs w:val="24"/>
          <w:lang w:eastAsia="en-IN"/>
        </w:rPr>
        <w:t>, 25(1), 40–60.</w:t>
      </w:r>
    </w:p>
    <w:p w:rsidR="00A62D22" w:rsidRPr="00AD2FA6" w:rsidRDefault="00A62D22" w:rsidP="00AD2FA6">
      <w:pPr>
        <w:spacing w:before="100" w:beforeAutospacing="1" w:after="100" w:afterAutospacing="1" w:line="360" w:lineRule="auto"/>
        <w:jc w:val="both"/>
        <w:rPr>
          <w:rFonts w:ascii="Times New Roman" w:eastAsia="Times New Roman" w:hAnsi="Times New Roman" w:cs="Times New Roman"/>
          <w:sz w:val="24"/>
          <w:szCs w:val="24"/>
          <w:lang w:eastAsia="en-IN"/>
        </w:rPr>
      </w:pPr>
      <w:r w:rsidRPr="00AD2FA6">
        <w:rPr>
          <w:rFonts w:ascii="Times New Roman" w:eastAsia="Times New Roman" w:hAnsi="Times New Roman" w:cs="Times New Roman"/>
          <w:sz w:val="24"/>
          <w:szCs w:val="24"/>
          <w:lang w:eastAsia="en-IN"/>
        </w:rPr>
        <w:t xml:space="preserve">Ting-Toomey, S. (2005). The matrix of face: An updated face-negotiation theory. In W. B. Gudykunst (Ed.), </w:t>
      </w:r>
      <w:r w:rsidRPr="00AD2FA6">
        <w:rPr>
          <w:rFonts w:ascii="Times New Roman" w:eastAsia="Times New Roman" w:hAnsi="Times New Roman" w:cs="Times New Roman"/>
          <w:i/>
          <w:iCs/>
          <w:sz w:val="24"/>
          <w:szCs w:val="24"/>
          <w:lang w:eastAsia="en-IN"/>
        </w:rPr>
        <w:t>Theorizing about intercultural communication</w:t>
      </w:r>
      <w:r w:rsidRPr="00AD2FA6">
        <w:rPr>
          <w:rFonts w:ascii="Times New Roman" w:eastAsia="Times New Roman" w:hAnsi="Times New Roman" w:cs="Times New Roman"/>
          <w:sz w:val="24"/>
          <w:szCs w:val="24"/>
          <w:lang w:eastAsia="en-IN"/>
        </w:rPr>
        <w:t xml:space="preserve"> (pp. 71–92). Sage.</w:t>
      </w:r>
    </w:p>
    <w:p w:rsidR="00A62D22" w:rsidRPr="00AD2FA6" w:rsidRDefault="00A62D22" w:rsidP="00AD2FA6">
      <w:pPr>
        <w:spacing w:before="100" w:beforeAutospacing="1" w:after="100" w:afterAutospacing="1" w:line="360" w:lineRule="auto"/>
        <w:jc w:val="both"/>
        <w:rPr>
          <w:rFonts w:ascii="Times New Roman" w:eastAsia="Times New Roman" w:hAnsi="Times New Roman" w:cs="Times New Roman"/>
          <w:sz w:val="24"/>
          <w:szCs w:val="24"/>
          <w:lang w:eastAsia="en-IN"/>
        </w:rPr>
      </w:pPr>
      <w:r w:rsidRPr="00AD2FA6">
        <w:rPr>
          <w:rFonts w:ascii="Times New Roman" w:eastAsia="Times New Roman" w:hAnsi="Times New Roman" w:cs="Times New Roman"/>
          <w:sz w:val="24"/>
          <w:szCs w:val="24"/>
          <w:lang w:eastAsia="en-IN"/>
        </w:rPr>
        <w:t xml:space="preserve">Tran, L. T. (2013). International students’ experiences of workplace integration in Australia: Perspectives from international graduates and employers. </w:t>
      </w:r>
      <w:r w:rsidRPr="00AD2FA6">
        <w:rPr>
          <w:rFonts w:ascii="Times New Roman" w:eastAsia="Times New Roman" w:hAnsi="Times New Roman" w:cs="Times New Roman"/>
          <w:i/>
          <w:iCs/>
          <w:sz w:val="24"/>
          <w:szCs w:val="24"/>
          <w:lang w:eastAsia="en-IN"/>
        </w:rPr>
        <w:t>Journal of Education and Work</w:t>
      </w:r>
      <w:r w:rsidRPr="00AD2FA6">
        <w:rPr>
          <w:rFonts w:ascii="Times New Roman" w:eastAsia="Times New Roman" w:hAnsi="Times New Roman" w:cs="Times New Roman"/>
          <w:sz w:val="24"/>
          <w:szCs w:val="24"/>
          <w:lang w:eastAsia="en-IN"/>
        </w:rPr>
        <w:t>, 26(4), 376–392.</w:t>
      </w:r>
    </w:p>
    <w:p w:rsidR="00A62D22" w:rsidRPr="00AD2FA6" w:rsidRDefault="00A62D22" w:rsidP="00AD2FA6">
      <w:pPr>
        <w:spacing w:before="100" w:beforeAutospacing="1" w:after="100" w:afterAutospacing="1" w:line="360" w:lineRule="auto"/>
        <w:jc w:val="both"/>
        <w:rPr>
          <w:rFonts w:ascii="Times New Roman" w:eastAsia="Times New Roman" w:hAnsi="Times New Roman" w:cs="Times New Roman"/>
          <w:sz w:val="24"/>
          <w:szCs w:val="24"/>
          <w:lang w:eastAsia="en-IN"/>
        </w:rPr>
      </w:pPr>
      <w:r w:rsidRPr="00AD2FA6">
        <w:rPr>
          <w:rFonts w:ascii="Times New Roman" w:eastAsia="Times New Roman" w:hAnsi="Times New Roman" w:cs="Times New Roman"/>
          <w:sz w:val="24"/>
          <w:szCs w:val="24"/>
          <w:lang w:eastAsia="en-IN"/>
        </w:rPr>
        <w:t xml:space="preserve">Zhou, Y., Jindal-Snape, D., Topping, K., &amp; Todman, J. (2008). Theoretical models of culture shock and adaptation in international students. </w:t>
      </w:r>
      <w:r w:rsidRPr="00AD2FA6">
        <w:rPr>
          <w:rFonts w:ascii="Times New Roman" w:eastAsia="Times New Roman" w:hAnsi="Times New Roman" w:cs="Times New Roman"/>
          <w:i/>
          <w:iCs/>
          <w:sz w:val="24"/>
          <w:szCs w:val="24"/>
          <w:lang w:eastAsia="en-IN"/>
        </w:rPr>
        <w:t>Studies in Higher Education</w:t>
      </w:r>
      <w:r w:rsidRPr="00AD2FA6">
        <w:rPr>
          <w:rFonts w:ascii="Times New Roman" w:eastAsia="Times New Roman" w:hAnsi="Times New Roman" w:cs="Times New Roman"/>
          <w:sz w:val="24"/>
          <w:szCs w:val="24"/>
          <w:lang w:eastAsia="en-IN"/>
        </w:rPr>
        <w:t>, 33(1), 63–75.</w:t>
      </w:r>
    </w:p>
    <w:p w:rsidR="005A6C8D" w:rsidRPr="00AD2FA6" w:rsidRDefault="005A6C8D" w:rsidP="00AD2FA6">
      <w:pPr>
        <w:spacing w:line="360" w:lineRule="auto"/>
        <w:jc w:val="both"/>
        <w:rPr>
          <w:rFonts w:ascii="Times New Roman" w:hAnsi="Times New Roman" w:cs="Times New Roman"/>
          <w:sz w:val="24"/>
          <w:szCs w:val="24"/>
        </w:rPr>
      </w:pPr>
    </w:p>
    <w:sectPr w:rsidR="005A6C8D" w:rsidRPr="00AD2FA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2F3C" w:rsidRDefault="002E2F3C" w:rsidP="00AD2980">
      <w:pPr>
        <w:spacing w:after="0" w:line="240" w:lineRule="auto"/>
      </w:pPr>
      <w:r>
        <w:separator/>
      </w:r>
    </w:p>
  </w:endnote>
  <w:endnote w:type="continuationSeparator" w:id="0">
    <w:p w:rsidR="002E2F3C" w:rsidRDefault="002E2F3C" w:rsidP="00AD29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2F3C" w:rsidRDefault="002E2F3C" w:rsidP="00AD2980">
      <w:pPr>
        <w:spacing w:after="0" w:line="240" w:lineRule="auto"/>
      </w:pPr>
      <w:r>
        <w:separator/>
      </w:r>
    </w:p>
  </w:footnote>
  <w:footnote w:type="continuationSeparator" w:id="0">
    <w:p w:rsidR="002E2F3C" w:rsidRDefault="002E2F3C" w:rsidP="00AD298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4F4E90"/>
    <w:multiLevelType w:val="multilevel"/>
    <w:tmpl w:val="6E901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D22"/>
    <w:rsid w:val="000E6C18"/>
    <w:rsid w:val="001A5A5F"/>
    <w:rsid w:val="001E45CB"/>
    <w:rsid w:val="002E2F3C"/>
    <w:rsid w:val="0030105A"/>
    <w:rsid w:val="005A6C8D"/>
    <w:rsid w:val="006C3FF2"/>
    <w:rsid w:val="00707AA8"/>
    <w:rsid w:val="008D4018"/>
    <w:rsid w:val="009939EB"/>
    <w:rsid w:val="00A62D22"/>
    <w:rsid w:val="00AD2980"/>
    <w:rsid w:val="00AD2FA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5B587B"/>
  <w15:chartTrackingRefBased/>
  <w15:docId w15:val="{4199BD89-149B-44C6-A490-82024BCBF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62D22"/>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Strong">
    <w:name w:val="Strong"/>
    <w:basedOn w:val="DefaultParagraphFont"/>
    <w:uiPriority w:val="22"/>
    <w:qFormat/>
    <w:rsid w:val="00A62D22"/>
    <w:rPr>
      <w:b/>
      <w:bCs/>
    </w:rPr>
  </w:style>
  <w:style w:type="character" w:styleId="Emphasis">
    <w:name w:val="Emphasis"/>
    <w:basedOn w:val="DefaultParagraphFont"/>
    <w:uiPriority w:val="20"/>
    <w:qFormat/>
    <w:rsid w:val="00A62D22"/>
    <w:rPr>
      <w:i/>
      <w:iCs/>
    </w:rPr>
  </w:style>
  <w:style w:type="paragraph" w:styleId="Header">
    <w:name w:val="header"/>
    <w:basedOn w:val="Normal"/>
    <w:link w:val="HeaderChar"/>
    <w:uiPriority w:val="99"/>
    <w:unhideWhenUsed/>
    <w:rsid w:val="00AD2980"/>
    <w:pPr>
      <w:tabs>
        <w:tab w:val="center" w:pos="4513"/>
        <w:tab w:val="right" w:pos="9026"/>
      </w:tabs>
      <w:spacing w:after="0" w:line="240" w:lineRule="auto"/>
    </w:pPr>
  </w:style>
  <w:style w:type="character" w:customStyle="1" w:styleId="HeaderChar">
    <w:name w:val="Header Char"/>
    <w:basedOn w:val="DefaultParagraphFont"/>
    <w:link w:val="Header"/>
    <w:uiPriority w:val="99"/>
    <w:rsid w:val="00AD2980"/>
  </w:style>
  <w:style w:type="paragraph" w:styleId="Footer">
    <w:name w:val="footer"/>
    <w:basedOn w:val="Normal"/>
    <w:link w:val="FooterChar"/>
    <w:uiPriority w:val="99"/>
    <w:unhideWhenUsed/>
    <w:rsid w:val="00AD2980"/>
    <w:pPr>
      <w:tabs>
        <w:tab w:val="center" w:pos="4513"/>
        <w:tab w:val="right" w:pos="9026"/>
      </w:tabs>
      <w:spacing w:after="0" w:line="240" w:lineRule="auto"/>
    </w:pPr>
  </w:style>
  <w:style w:type="character" w:customStyle="1" w:styleId="FooterChar">
    <w:name w:val="Footer Char"/>
    <w:basedOn w:val="DefaultParagraphFont"/>
    <w:link w:val="Footer"/>
    <w:uiPriority w:val="99"/>
    <w:rsid w:val="00AD2980"/>
  </w:style>
  <w:style w:type="character" w:customStyle="1" w:styleId="cursor-pointer">
    <w:name w:val="cursor-pointer"/>
    <w:basedOn w:val="DefaultParagraphFont"/>
    <w:rsid w:val="003010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3881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7</Pages>
  <Words>1983</Words>
  <Characters>11308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2025-04-21T06:26:00Z</dcterms:created>
  <dcterms:modified xsi:type="dcterms:W3CDTF">2025-05-01T15:58:00Z</dcterms:modified>
</cp:coreProperties>
</file>